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60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June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Celcuity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603"/>
            <w:bookmarkEnd w:id="6"/>
            <w:r>
              <w:rPr>
                <w:rFonts w:ascii="Times New Roman;Times;Serif" w:hAnsi="Times New Roman;Times;Serif"/>
                <w:b/>
                <w:i w:val="false"/>
                <w:caps w:val="false"/>
                <w:smallCaps w:val="false"/>
                <w:sz w:val="20"/>
              </w:rPr>
              <w:t>001-38207</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82-2863566</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2800 Campus Drive, </w:t>
      </w:r>
      <w:bookmarkStart w:id="9" w:name="xdx_900_edei--EntityAddressAddressLine2_"/>
      <w:bookmarkEnd w:id="9"/>
      <w:r>
        <w:rPr>
          <w:rFonts w:ascii="Times New Roman;Times;Serif" w:hAnsi="Times New Roman;Times;Serif"/>
          <w:b/>
          <w:i w:val="false"/>
          <w:caps w:val="false"/>
          <w:smallCaps w:val="false"/>
          <w:sz w:val="20"/>
        </w:rPr>
        <w:t>Suite 140</w:t>
        <w:br/>
      </w:r>
      <w:bookmarkStart w:id="10" w:name="xdx_90E_edei--EntityAddressCityOrTown_c2"/>
      <w:bookmarkEnd w:id="10"/>
      <w:r>
        <w:rPr>
          <w:rFonts w:ascii="Times New Roman;Times;Serif" w:hAnsi="Times New Roman;Times;Serif"/>
          <w:b/>
          <w:i w:val="false"/>
          <w:caps w:val="false"/>
          <w:smallCaps w:val="false"/>
          <w:sz w:val="20"/>
        </w:rPr>
        <w:t xml:space="preserve">Minneapolis, </w:t>
      </w:r>
      <w:bookmarkStart w:id="11" w:name="xdx_900_edei--EntityAddressStateOrProvin"/>
      <w:bookmarkEnd w:id="11"/>
      <w:r>
        <w:rPr>
          <w:rFonts w:ascii="Times New Roman;Times;Serif" w:hAnsi="Times New Roman;Times;Serif"/>
          <w:b/>
          <w:i w:val="false"/>
          <w:caps w:val="false"/>
          <w:smallCaps w:val="false"/>
          <w:sz w:val="20"/>
        </w:rPr>
        <w:t xml:space="preserve">Minnesota </w:t>
      </w:r>
      <w:bookmarkStart w:id="12" w:name="xdx_904_edei--EntityAddressPostalZipCode"/>
      <w:bookmarkEnd w:id="12"/>
      <w:r>
        <w:rPr>
          <w:rFonts w:ascii="Times New Roman;Times;Serif" w:hAnsi="Times New Roman;Times;Serif"/>
          <w:b/>
          <w:i w:val="false"/>
          <w:caps w:val="false"/>
          <w:smallCaps w:val="false"/>
          <w:sz w:val="20"/>
        </w:rPr>
        <w:t>55441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F_edei--CityAreaCode_c20260603__20"/>
      <w:bookmarkEnd w:id="13"/>
      <w:r>
        <w:rPr>
          <w:rFonts w:ascii="Times New Roman;Times;Serif" w:hAnsi="Times New Roman;Times;Serif"/>
          <w:b/>
          <w:i w:val="false"/>
          <w:caps w:val="false"/>
          <w:smallCaps w:val="false"/>
          <w:sz w:val="20"/>
        </w:rPr>
        <w:t xml:space="preserve">(763) </w:t>
      </w:r>
      <w:bookmarkStart w:id="14" w:name="xdx_90E_edei--LocalPhoneNumber_c20260603"/>
      <w:bookmarkEnd w:id="14"/>
      <w:r>
        <w:rPr>
          <w:rFonts w:ascii="Times New Roman;Times;Serif" w:hAnsi="Times New Roman;Times;Serif"/>
          <w:b/>
          <w:i w:val="false"/>
          <w:caps w:val="false"/>
          <w:smallCaps w:val="false"/>
          <w:sz w:val="20"/>
        </w:rPr>
        <w:t>392-0123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D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7_edei--SolicitingMaterial_c202606"/>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4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2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760" w:type="dxa"/>
        <w:jc w:val="left"/>
        <w:tblInd w:w="0" w:type="dxa"/>
        <w:tblLayout w:type="fixed"/>
        <w:tblCellMar>
          <w:top w:w="0" w:type="dxa"/>
          <w:left w:w="0" w:type="dxa"/>
          <w:bottom w:w="28" w:type="dxa"/>
          <w:right w:w="0" w:type="dxa"/>
        </w:tblCellMar>
      </w:tblPr>
      <w:tblGrid>
        <w:gridCol w:w="3515"/>
        <w:gridCol w:w="60"/>
        <w:gridCol w:w="153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3_edei--Security12bTitle_c20260603"/>
            <w:bookmarkEnd w:id="19"/>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TradingSymbol_c20260603__2"/>
            <w:bookmarkEnd w:id="20"/>
            <w:r>
              <w:rPr>
                <w:rFonts w:ascii="Times New Roman;Times;Serif" w:hAnsi="Times New Roman;Times;Serif"/>
                <w:b w:val="false"/>
                <w:i w:val="false"/>
                <w:caps w:val="false"/>
                <w:smallCaps w:val="false"/>
                <w:sz w:val="20"/>
              </w:rPr>
              <w:t>CELC</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E_edei--SecurityExchangeName_c2026"/>
            <w:bookmarkEnd w:id="21"/>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w:t>
            </w:r>
          </w:p>
        </w:tc>
        <w:tc>
          <w:tcPr>
            <w:tcW w:w="37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 2026, Celcuity Inc. (the “Company”) entered into an underwriting agreement (the “Underwriting Agreement”) with Jefferies LLC, J.P. Morgan Securities LLC, TD Securities (USA) LLC and Guggenheim Securities, LLC, as representatives of the several underwriters named therein (collectively, the “Underwriters”), agreeing, subject to customary conditions, to issue and sell in a public offering $500,000,000 aggregate principal amount of the Company’s 0.250% Convertible Senior Notes due 2032 (the “Notes”) to the Underwriters (the “Offering”). In addition, pursuant to the Underwriting Agreement, the Company granted the Underwriters an option to purchase up to an additional $75,000,000 aggregate principal amount of the Notes, solely to cover over-allotments. On June 4, 2026, the Underwriters exercised such option to purchase an additional $75,000,000 aggregate principal amount of the Notes. The issuance of $575,000,000 aggregate principal amount of the Notes was completed on June 8, 2026. The Notes </w:t>
      </w:r>
      <w:r>
        <w:rPr>
          <w:rFonts w:ascii="Times New Roman;Times;Serif" w:hAnsi="Times New Roman;Times;Serif"/>
          <w:b w:val="false"/>
          <w:i w:val="false"/>
          <w:caps w:val="false"/>
          <w:smallCaps w:val="false"/>
          <w:sz w:val="20"/>
          <w:shd w:fill="FFFFFF" w:val="clear"/>
        </w:rPr>
        <w:t xml:space="preserve">were </w:t>
      </w:r>
      <w:r>
        <w:rPr>
          <w:rFonts w:ascii="Times New Roman;Times;Serif" w:hAnsi="Times New Roman;Times;Serif"/>
          <w:b w:val="false"/>
          <w:i w:val="false"/>
          <w:caps w:val="false"/>
          <w:smallCaps w:val="false"/>
          <w:sz w:val="20"/>
        </w:rPr>
        <w:t>issued pursuant to, and are governed by, an indenture (the “Base Indenture”), dated as of August 1, 2025, between the Company and U.S. Bank Trust Company, National Association, as trustee (the “Trustee”), as supplemented by a second supplemental indenture (the “Supplemental Indenture,” and the Base Indenture, as supplemented by the Supplemental Indenture, the “Indenture”), dated as of June 8, 2026, between the Company and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Offering, after deducting underwriting discounts and commissions and offering expenses, were approximately $557.0 million, including the proceeds from the Underwriters’ exercise of their over-allotment option in full. The Company intends to use the net proceeds from the Offering to repay in full all outstanding obligations under the Loan Agreement (defined below) and the remainder for working capital and general corporate purposes, which may include clinical trial expenditures, commercial launch expenditures, commercialization expenditures, research and development expenditures, capital expenditures, expansion of business development activities and other general corporate purposes. The Company may also use a portion of the proceeds for the potential acquisition of businesses, technologies, and products, although the Company has no current binding understandings, commitments, or agreements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general, unsecured, senior obligations of the Company. The Notes will bear interest at a rate of 0.250% per annum, payable semi-annually in arrears on February 1 and August 1 of each year, beginning on February 1, 2027. In addition, special interest will accrue on the Notes upon the occurrence of certain events relating to the Company’s failure to file certain reports with the U.S. Securities and Exchange Commission (the “SEC”) as provided in the Indenture. The Notes will mature on August 1, 2032, unless earlier repurchased, redeemed or converted. The Notes will be convertible at the option of the holders if certain conditions are met and during certain periods, at an initial conversion rate of 8.0302 shares of the Company’s common stock, par value $0.001 per share (the “Common Stock”), per $1,000 principal amount of the Notes, which is equivalent to an initial conversion price of approximately $124.53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The Company will settle conversions of the Notes by paying or delivering, as applicable, cash, shares of Common Stock or a combination of cash and shares of Common Stock, at the Company’s election, based on the applicable conversion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redeemable, in whole or in part (subject to certain limitations described below), at the Company’s option at any time, and from time to time, on a redemption date on or after August 6, 2029 and on or before the 31st scheduled trading day immediately before the maturity date, at a cash redemption price equal to the principal amount of the Notes to be redeemed, plus accrued and unpaid interest, if any, to, but excluding, the redemption date, but only if the last reported sale price per share of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$50.0 million aggregate principal amount of Notes are outstanding and not called for redemption as of the time the Company sends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certain events that constitute a “Fundamental Change” (as defined in the Indenture) occur, then, subject to certain exceptions as provided in the Indenture, noteholders may require the Company to repurchase their Notes at a cash repurchase price equal to the principal amount of the Notes to be repurchased, plus accrued and unpaid special interest, if any, to, but excluding, the fundamental change repurchase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convert a Note in accordance with the Indenture within a specified period of time;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significant subsidiaries with respect to indebtedness for borrowed money of at least $60,000,000; (vii) certain events of bankruptcy, insolvency and reorganization involving the Company or any of its significant subsidiaries; and (viii) certain judgments being rendered against the Company or any of its significant subsidiaries for the payment of at least $60,000,000.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involving bankruptcy, insolvency or reorganization events with respect to the Company (and not solely with respect to a significant subsidiary of the Company) occurs, then the principal amount of, and all accrued and unpaid interest, if any,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if any, on, all of the Notes then outstanding to become due and payable immediately.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365 days, at a rate per annum equal to 0.25% of the principal amount of the Notes for the first 180 days on which special interest accrues and, thereafter, at a rate per annum equal to 0.50% of the principal amount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Underwriting Agreement, the Indenture and the Notes is a summary and is not complete. The Underwriting Agreement contains customary representations, warranties, covenants and indemnification obligations of the Company and the Underwriters, including for liabilities under the Securities Act of 1933, as amended (the “Securities Act”), and other obligations of the parties. The representations, warranties and covenants contained in the Underwriting Agreement were made only for purposes of such agreement and as of specific dates, were solely for the benefit of the parties to such agreement and may be subject to limitations agreed upon by such parties. A copy of the Underwriting Agreement, the Base Indenture, the Supplemental Indenture and the form of the certificate representing the Notes are filed as Exhibits 1.1, 4.1, 4.2 and 4.3, respectively, to this Current Report on Form 8-K, and the above summary is qualified in its entirety by reference to the terms of the Underwriting Agreement, the Base Indenture, the Supplemental Indenture and the Notes set forth in such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being made pursuant to a prospectus supplement, dated June 3, 2026, filed with the SEC on June 5, 2026 and an accompanying base prospectus that forms a part of the Registration Statement. This Current Report on Form 8-K does not constitute an offer to sell or a solicitation of an offer to buy any of the Notes.</w:t>
      </w:r>
    </w:p>
    <w:p>
      <w:pPr>
        <w:pStyle w:val="TextBody"/>
        <w:bidi w:val="0"/>
        <w:spacing w:before="0" w:after="0"/>
        <w:ind w:left="0" w:right="0" w:firstLine="72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830"/>
        <w:gridCol w:w="4160"/>
      </w:tblGrid>
      <w:tr>
        <w:trPr/>
        <w:tc>
          <w:tcPr>
            <w:tcW w:w="8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w:t>
            </w:r>
          </w:p>
        </w:tc>
        <w:tc>
          <w:tcPr>
            <w:tcW w:w="41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Termination of a Material Definitive Agreement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8, 2026, the Company completed a voluntary prepayment of all outstanding principal, accrued and unpaid interest, fees, costs and expenses, equal to approximately $[137.5 million] in the aggregate (the “Payoff Amount”), under that certain Amended and Restated Loan and Security Agreement, dated as of May 30, 2024, by and among the Company, as borrower, Oxford Finance LLC, a Delaware limited liability company (“Oxford”), as collateral agent and a lender, Innovatus Life Sciences Lending Fund I, LP, a Delaware limited partnership (“Innovatus” and together with Oxford, the “Lenders”), as a lender, and the other lenders party thereto (as amended, restated, supplemented or otherwise modified prior to the date hereof, the “Loan Agreement”). Upon receipt by the Lenders of the Payoff Amount on June 8, 2026, all obligations, covenants, debts and liabilities of the Company under the Loan Agreement were satisfied and discharged in full, and the Loan Agreement and all other documents entered into in connection with the Loan Agreement were terminated.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provided for term loans with aggregate maximum commitments of up to $350 million (the “Term Loans”), with the potential for an additional $150 million in discretionary term loans at the Lenders’ sole discretion. Under the Loan Agreement, the Company had total borrowings of $100 million as of May 30, 2024, and on September 9, 2025, the Company borrowed an additional $30 million. The Term Loans bore interest at a floating per annum rate equal to the greater of (i) the Prime Rate (as defined in the Loan Agreement) and (ii) 7.75%, plus 2.85% (the “Basic Rate”). Additionally, 1.00% of the Basic Rate was payable in kind by adding such amount to the outstanding principal balance on a monthly basis through May 31, 2027. Interest-only payments on the borrowings under the Loan Agreement were due through May 31, 2027. Interest-only payments on the borrowings under the Loan Agreement were due through August 1, 2028, or if certain regulatory milestones were met, through March 1, 2029. After the interest-only payment period, borrowings under the Loan Agreement were due in equal monthly payments of principal and accrued interest until the maturity date of November 1, 2029.</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8"/>
        <w:gridCol w:w="9397"/>
      </w:tblGrid>
      <w:tr>
        <w:trPr/>
        <w:tc>
          <w:tcPr>
            <w:tcW w:w="80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w:t>
            </w:r>
          </w:p>
        </w:tc>
        <w:tc>
          <w:tcPr>
            <w:tcW w:w="93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C</w:t>
            </w:r>
            <w:r>
              <w:rPr>
                <w:rFonts w:ascii="Times New Roman;Times;Serif" w:hAnsi="Times New Roman;Times;Serif"/>
                <w:b/>
                <w:i w:val="false"/>
                <w:caps w:val="false"/>
                <w:smallCaps w:val="false"/>
                <w:sz w:val="20"/>
              </w:rPr>
              <w:t>reation of a Direct Financial Obligation or an Obligation under an Off-Balance Sheet Arrangement of a Registrant.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Item 1.01 above is incorporated by reference into this Item 2.03.</w:t>
      </w:r>
    </w:p>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w:t>
            </w:r>
          </w:p>
        </w:tc>
        <w:tc>
          <w:tcPr>
            <w:tcW w:w="11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Press Release – Launch of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issued a press release announcing that it had launched the Offering. A copy of this press release is filed as Exhibit 99.1 hereto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Press Release – Pricing of Notes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issued a press release announcing that it priced the Offering to issue and sell $500 million aggregate principal amount of 0.250% Convertible Senior Notes due 2032. A copy of this press release is filed as Exhibit 99.2 hereto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as that term is defined under the federal securities laws, including but not limited to statements regarding the Offering, the Company’s expectations regarding the expected net proceeds from the Offering and the use of those net proceeds. These forward-looking statements are based on the Company’s current assumptions, expectations and beliefs and are subject to substantial risks, uncertainties, assumptions and changes in circumstances that may cause the Company’s plans to differ materially from those expressed or implied in any forward-looking statement. These risks include, but are not limited to, market risks, trends and conditions, and those risks described in the Company’s filings with the SEC from time to time, particularly under the captions “Risk Factors” and “Management’s Discussion and Analysis of Financial Condition and Results of Operations,” including the Annual Report on Form 10-K for the fiscal year ended December 31, 2025, the Quarterly Report on Form 10-Q for the fiscal quarter ended March 31, 2026 and subsequent filings with the SEC. Copies of these documents may be obtained by visiting the SEC’s website at www.sec.gov. These forward-looking statements represent the Company’s estimates and assumptions only as of the date of this Current Report on Form 8-K. The Company assumes no obligation and does not intend to update these forward-looking statements, except as required by law.</w:t>
      </w:r>
    </w:p>
    <w:p>
      <w:pPr>
        <w:pStyle w:val="TextBody"/>
        <w:bidi w:val="0"/>
        <w:spacing w:before="0" w:after="0"/>
        <w:ind w:left="0" w:right="0" w:firstLine="72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30"/>
        <w:gridCol w:w="3005"/>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30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260"/>
        <w:gridCol w:w="78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7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w:anchor="ex1-1.htm">
              <w:r>
                <w:rPr>
                  <w:rStyle w:val="InternetLink"/>
                  <w:rFonts w:ascii="Times New Roman;Times;Serif" w:hAnsi="Times New Roman;Times;Serif"/>
                  <w:b w:val="false"/>
                  <w:i w:val="false"/>
                  <w:caps w:val="false"/>
                  <w:smallCaps w:val="false"/>
                  <w:sz w:val="20"/>
                </w:rPr>
                <w:t>Underwriting Agreement, dated as of June 3, 2026, among Celcuity Inc. and the representatives of the underwriters named therein, relating to the offer and sale of 0.250% Convertible Senior Notes due 2032.</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Indenture, dated as of August 1, 2025, between Celcuity Inc. and U.S. Bank Trust Company, National Association, as trustee (incorporated herein by reference to Exhibit 4.1 to the Company’s Current Report on Form 8-K filed August 1, 2025).</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w:anchor="ex4-2.htm">
              <w:r>
                <w:rPr>
                  <w:rStyle w:val="InternetLink"/>
                  <w:rFonts w:ascii="Times New Roman;Times;Serif" w:hAnsi="Times New Roman;Times;Serif"/>
                  <w:b w:val="false"/>
                  <w:i w:val="false"/>
                  <w:caps w:val="false"/>
                  <w:smallCaps w:val="false"/>
                  <w:sz w:val="20"/>
                </w:rPr>
                <w:t>Second Supplemental Indenture, dated as of June 8, 2026, between Celcuity Inc. and U.S. Bank Trust Company, National Association, as trustee.</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w:anchor="ex4-3.htm">
              <w:r>
                <w:rPr>
                  <w:rStyle w:val="InternetLink"/>
                  <w:rFonts w:ascii="Times New Roman;Times;Serif" w:hAnsi="Times New Roman;Times;Serif"/>
                  <w:b w:val="false"/>
                  <w:i w:val="false"/>
                  <w:caps w:val="false"/>
                  <w:smallCaps w:val="false"/>
                  <w:sz w:val="20"/>
                </w:rPr>
                <w:t>Form of certificate representing the 0.250% Convertible Senior Notes due 2032 (included as Exhibit A in Exhibit 4.2).</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Faegre Drinker Biddle &amp; Reath LLP.</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Faegre Drinker Biddle &amp; Reath LLP (included in Exhibit 5.1).</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June 3, 2026.</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Press release dated June 3, 2026.</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8, 2026</w:t>
      </w:r>
    </w:p>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320"/>
        <w:gridCol w:w="1955"/>
      </w:tblGrid>
      <w:tr>
        <w:trPr/>
        <w:tc>
          <w:tcPr>
            <w:tcW w:w="7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CELCUITY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Brian F. Sullivan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F. Sullivan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bookmarkStart w:id="23" w:name="ex1-1.htm"/>
      <w:bookmarkStart w:id="24" w:name="ksex1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$500,000,000 0.250% Convertible Senior Notes Due 2032</w:t>
        <w:br/>
        <w:t>Celcuity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UNDERWRITING AGREEMENT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br/>
        <w:t>TD SECURITIES (USA) LLC</w:t>
        <w:br/>
        <w:t>GUGGENHEIM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JEFFERIES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Madison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J.P. MORGAN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TD SECURITIES (USA)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Vanderbilt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GUGGENHEIM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 Madison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b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Introductory.</w:t>
      </w:r>
      <w:r>
        <w:rPr>
          <w:rFonts w:ascii="Times New Roman;Times;Serif" w:hAnsi="Times New Roman;Times;Serif"/>
          <w:b w:val="false"/>
          <w:i w:val="false"/>
          <w:caps w:val="false"/>
          <w:smallCaps w:val="false"/>
          <w:sz w:val="20"/>
        </w:rPr>
        <w:t xml:space="preserve"> Celcuity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proposes to issue and sell to the several underwriters named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$500,000,000 principal amount of 0.250% Convertible Senior Notes due 2032 of the Company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The $500,000,000 principal amount of Securities to be sold by the Company are called the “</w:t>
      </w:r>
      <w:r>
        <w:rPr>
          <w:rFonts w:ascii="Times New Roman;Times;Serif" w:hAnsi="Times New Roman;Times;Serif"/>
          <w:b/>
          <w:i w:val="false"/>
          <w:caps w:val="false"/>
          <w:smallCaps w:val="false"/>
          <w:sz w:val="20"/>
        </w:rPr>
        <w:t>Firm Securities</w:t>
      </w:r>
      <w:r>
        <w:rPr>
          <w:rFonts w:ascii="Times New Roman;Times;Serif" w:hAnsi="Times New Roman;Times;Serif"/>
          <w:b w:val="false"/>
          <w:i w:val="false"/>
          <w:caps w:val="false"/>
          <w:smallCaps w:val="false"/>
          <w:sz w:val="20"/>
        </w:rPr>
        <w:t>.” In addition, the Company has granted to the Underwriters an option to purchase up to an additional $75,000,000 principal amount of Securities as provided in Section 2. The additional $75,000,000 principal amount of Securities to be sold by the Company pursuant to such option are collectively called the “</w:t>
      </w:r>
      <w:r>
        <w:rPr>
          <w:rFonts w:ascii="Times New Roman;Times;Serif" w:hAnsi="Times New Roman;Times;Serif"/>
          <w:b/>
          <w:i w:val="false"/>
          <w:caps w:val="false"/>
          <w:smallCaps w:val="false"/>
          <w:sz w:val="20"/>
        </w:rPr>
        <w:t>Optional Securities</w:t>
      </w:r>
      <w:r>
        <w:rPr>
          <w:rFonts w:ascii="Times New Roman;Times;Serif" w:hAnsi="Times New Roman;Times;Serif"/>
          <w:b w:val="false"/>
          <w:i w:val="false"/>
          <w:caps w:val="false"/>
          <w:smallCaps w:val="false"/>
          <w:sz w:val="20"/>
        </w:rPr>
        <w:t>.” The Firm Securities and, if and to the extent such option is exercised, the Optional Securities are collectively called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Jefferies LLC (“</w:t>
      </w:r>
      <w:r>
        <w:rPr>
          <w:rFonts w:ascii="Times New Roman;Times;Serif" w:hAnsi="Times New Roman;Times;Serif"/>
          <w:b/>
          <w:i w:val="false"/>
          <w:caps w:val="false"/>
          <w:smallCaps w:val="false"/>
          <w:sz w:val="20"/>
        </w:rPr>
        <w:t>Jefferies</w:t>
      </w:r>
      <w:r>
        <w:rPr>
          <w:rFonts w:ascii="Times New Roman;Times;Serif" w:hAnsi="Times New Roman;Times;Serif"/>
          <w:b w:val="false"/>
          <w:i w:val="false"/>
          <w:caps w:val="false"/>
          <w:smallCaps w:val="false"/>
          <w:sz w:val="20"/>
        </w:rPr>
        <w:t>”), J.P. Morgan Securities LLC (“</w:t>
      </w:r>
      <w:r>
        <w:rPr>
          <w:rFonts w:ascii="Times New Roman;Times;Serif" w:hAnsi="Times New Roman;Times;Serif"/>
          <w:b/>
          <w:i w:val="false"/>
          <w:caps w:val="false"/>
          <w:smallCaps w:val="false"/>
          <w:sz w:val="20"/>
        </w:rPr>
        <w:t>J.P. Morgan</w:t>
      </w:r>
      <w:r>
        <w:rPr>
          <w:rFonts w:ascii="Times New Roman;Times;Serif" w:hAnsi="Times New Roman;Times;Serif"/>
          <w:b w:val="false"/>
          <w:i w:val="false"/>
          <w:caps w:val="false"/>
          <w:smallCaps w:val="false"/>
          <w:sz w:val="20"/>
        </w:rPr>
        <w:t>”), TD Securities (USA) LLC (“</w:t>
      </w:r>
      <w:r>
        <w:rPr>
          <w:rFonts w:ascii="Times New Roman;Times;Serif" w:hAnsi="Times New Roman;Times;Serif"/>
          <w:b/>
          <w:i w:val="false"/>
          <w:caps w:val="false"/>
          <w:smallCaps w:val="false"/>
          <w:sz w:val="20"/>
        </w:rPr>
        <w:t>TD Cowen</w:t>
      </w:r>
      <w:r>
        <w:rPr>
          <w:rFonts w:ascii="Times New Roman;Times;Serif" w:hAnsi="Times New Roman;Times;Serif"/>
          <w:b w:val="false"/>
          <w:i w:val="false"/>
          <w:caps w:val="false"/>
          <w:smallCaps w:val="false"/>
          <w:sz w:val="20"/>
        </w:rPr>
        <w:t>”) and Guggenheim Securities, LLC (“</w:t>
      </w:r>
      <w:r>
        <w:rPr>
          <w:rFonts w:ascii="Times New Roman;Times;Serif" w:hAnsi="Times New Roman;Times;Serif"/>
          <w:b/>
          <w:i w:val="false"/>
          <w:caps w:val="false"/>
          <w:smallCaps w:val="false"/>
          <w:sz w:val="20"/>
        </w:rPr>
        <w:t>Guggenheim Securities</w:t>
      </w:r>
      <w:r>
        <w:rPr>
          <w:rFonts w:ascii="Times New Roman;Times;Serif" w:hAnsi="Times New Roman;Times;Serif"/>
          <w:b w:val="false"/>
          <w:i w:val="false"/>
          <w:caps w:val="false"/>
          <w:smallCaps w:val="false"/>
          <w:sz w:val="20"/>
        </w:rPr>
        <w:t>”) have agreed to act as representatives of the several Underwriters (in such capacity,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in connection with the offering and sale of the Offered Securities. The Offered Securities will be convertible into cash, shares (the “</w:t>
      </w:r>
      <w:r>
        <w:rPr>
          <w:rFonts w:ascii="Times New Roman;Times;Serif" w:hAnsi="Times New Roman;Times;Serif"/>
          <w:b/>
          <w:i w:val="false"/>
          <w:caps w:val="false"/>
          <w:smallCaps w:val="false"/>
          <w:sz w:val="20"/>
        </w:rPr>
        <w:t>Underlying Securities</w:t>
      </w:r>
      <w:r>
        <w:rPr>
          <w:rFonts w:ascii="Times New Roman;Times;Serif" w:hAnsi="Times New Roman;Times;Serif"/>
          <w:b w:val="false"/>
          <w:i w:val="false"/>
          <w:caps w:val="false"/>
          <w:smallCaps w:val="false"/>
          <w:sz w:val="20"/>
        </w:rPr>
        <w:t>”) of common stock of the Company, par value $0.001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or a combination of cash and Underlying Securities, at the Company’s election. The Securities will be issued pursuant to an indenture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dated as of August 1, 2025, as supplemented by a supplemental indenture (the Base Indenture, as so supplemented,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to be dated as of the First Closing Date (as hereinafter defined), between the Company and U.S. Bank Trust Company,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xml:space="preserve">”). To the extent there are no additional underwriters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the term “Representatives” as used herein shall mean you, as Underwriters, and the term “Underwriters” shall mean either the singular or the plural, as the context requires.</w:t>
      </w:r>
    </w:p>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and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shelf registration statement on Form S-3, File No. 333-292646, including a base prospectus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to be used in connection with the public offering and sale of the Offered Securities.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including all documents incorporated or deemed to be incorporated by reference therein and any information deemed to be a part thereof at the time of effectiveness pursuant to Rule 430B under the Securities Act, is called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The preliminary prospectus supplement dated June 3, 2026 describing the Offered Securities and the offering thereof (the “</w:t>
      </w:r>
      <w:r>
        <w:rPr>
          <w:rFonts w:ascii="Times New Roman;Times;Serif" w:hAnsi="Times New Roman;Times;Serif"/>
          <w:b/>
          <w:i w:val="false"/>
          <w:caps w:val="false"/>
          <w:smallCaps w:val="false"/>
          <w:sz w:val="20"/>
        </w:rPr>
        <w:t>Preliminary Prospectus Supplement</w:t>
      </w:r>
      <w:r>
        <w:rPr>
          <w:rFonts w:ascii="Times New Roman;Times;Serif" w:hAnsi="Times New Roman;Times;Serif"/>
          <w:b w:val="false"/>
          <w:i w:val="false"/>
          <w:caps w:val="false"/>
          <w:smallCaps w:val="false"/>
          <w:sz w:val="20"/>
        </w:rPr>
        <w:t>”), together with the Base Prospectus, is called the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and the Preliminary Prospectus and any other prospectus supplement to the Base Prospectus in preliminary form that describes the Offered Securities and the offering thereof and is used prior to the filing of the Prospectus (as defined below), together with the Base Prospectus, is called a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As used herein, the term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shall mean the final prospectus supplement to the Base Prospectus that describes the Offered Securities and the offering thereof (the “</w:t>
      </w:r>
      <w:r>
        <w:rPr>
          <w:rFonts w:ascii="Times New Roman;Times;Serif" w:hAnsi="Times New Roman;Times;Serif"/>
          <w:b/>
          <w:i w:val="false"/>
          <w:caps w:val="false"/>
          <w:smallCaps w:val="false"/>
          <w:sz w:val="20"/>
        </w:rPr>
        <w:t>Final Prospectus Supplement</w:t>
      </w:r>
      <w:r>
        <w:rPr>
          <w:rFonts w:ascii="Times New Roman;Times;Serif" w:hAnsi="Times New Roman;Times;Serif"/>
          <w:b w:val="false"/>
          <w:i w:val="false"/>
          <w:caps w:val="false"/>
          <w:smallCaps w:val="false"/>
          <w:sz w:val="20"/>
        </w:rPr>
        <w:t>”), together with the Base Prospectus, in the form first used by the Underwriters to confirm sales of the Offered Securities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is 5:45 p.m. (New York City time) on June 3, 2026. As used herein,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 has the meaning set forth in Rule 405 under the Securities Act, and “</w:t>
      </w:r>
      <w:r>
        <w:rPr>
          <w:rFonts w:ascii="Times New Roman;Times;Serif" w:hAnsi="Times New Roman;Times;Serif"/>
          <w:b/>
          <w:i w:val="false"/>
          <w:caps w:val="false"/>
          <w:smallCaps w:val="false"/>
          <w:sz w:val="20"/>
        </w:rPr>
        <w:t>Time of Sale Prospectus</w:t>
      </w:r>
      <w:r>
        <w:rPr>
          <w:rFonts w:ascii="Times New Roman;Times;Serif" w:hAnsi="Times New Roman;Times;Serif"/>
          <w:b w:val="false"/>
          <w:i w:val="false"/>
          <w:caps w:val="false"/>
          <w:smallCaps w:val="false"/>
          <w:sz w:val="20"/>
        </w:rPr>
        <w:t xml:space="preserve">” means the Preliminary Prospectus, as amended or supplemented immediately prior to the Applicable Time, together with the free writing prospectuses, if any, identified in </w:t>
      </w:r>
      <w:r>
        <w:rPr>
          <w:rFonts w:ascii="Times New Roman;Times;Serif" w:hAnsi="Times New Roman;Times;Serif"/>
          <w:b w:val="false"/>
          <w:i w:val="false"/>
          <w:caps w:val="false"/>
          <w:smallCaps w:val="false"/>
          <w:sz w:val="20"/>
          <w:u w:val="single"/>
        </w:rPr>
        <w:t xml:space="preserve">Schedule B </w:t>
      </w:r>
      <w:r>
        <w:rPr>
          <w:rFonts w:ascii="Times New Roman;Times;Serif" w:hAnsi="Times New Roman;Times;Serif"/>
          <w:b w:val="false"/>
          <w:i w:val="false"/>
          <w:caps w:val="false"/>
          <w:smallCaps w:val="false"/>
          <w:sz w:val="20"/>
        </w:rPr>
        <w:t xml:space="preserve">hereto and the pricing term sheet set forth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hereto. As used herein, “</w:t>
      </w:r>
      <w:r>
        <w:rPr>
          <w:rFonts w:ascii="Times New Roman;Times;Serif" w:hAnsi="Times New Roman;Times;Serif"/>
          <w:b/>
          <w:i w:val="false"/>
          <w:caps w:val="false"/>
          <w:smallCaps w:val="false"/>
          <w:sz w:val="20"/>
        </w:rPr>
        <w:t xml:space="preserve">Road Show” </w:t>
      </w:r>
      <w:r>
        <w:rPr>
          <w:rFonts w:ascii="Times New Roman;Times;Serif" w:hAnsi="Times New Roman;Times;Serif"/>
          <w:b w:val="false"/>
          <w:i w:val="false"/>
          <w:caps w:val="false"/>
          <w:smallCaps w:val="false"/>
          <w:sz w:val="20"/>
        </w:rPr>
        <w:t>means a “road show” (as defined in Rule 433 under the Securities Act) relating to the offering of the Offered Securities contemplated hereby that is a “written communication” (as defined in Rule 405 under the Securities Act). As used herein, “</w:t>
      </w:r>
      <w:r>
        <w:rPr>
          <w:rFonts w:ascii="Times New Roman;Times;Serif" w:hAnsi="Times New Roman;Times;Serif"/>
          <w:b/>
          <w:i w:val="false"/>
          <w:caps w:val="false"/>
          <w:smallCaps w:val="false"/>
          <w:sz w:val="20"/>
        </w:rPr>
        <w:t>Section 5(d) Written Communication</w:t>
      </w:r>
      <w:r>
        <w:rPr>
          <w:rFonts w:ascii="Times New Roman;Times;Serif" w:hAnsi="Times New Roman;Times;Serif"/>
          <w:b w:val="false"/>
          <w:i w:val="false"/>
          <w:caps w:val="false"/>
          <w:smallCaps w:val="false"/>
          <w:sz w:val="20"/>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Times New Roman;Times;Serif" w:hAnsi="Times New Roman;Times;Serif"/>
          <w:b/>
          <w:i w:val="false"/>
          <w:caps w:val="false"/>
          <w:smallCaps w:val="false"/>
          <w:sz w:val="20"/>
        </w:rPr>
        <w:t>QIBs</w:t>
      </w:r>
      <w:r>
        <w:rPr>
          <w:rFonts w:ascii="Times New Roman;Times;Serif" w:hAnsi="Times New Roman;Times;Serif"/>
          <w:b w:val="false"/>
          <w:i w:val="false"/>
          <w:caps w:val="false"/>
          <w:smallCaps w:val="false"/>
          <w:sz w:val="20"/>
        </w:rPr>
        <w:t>”) and/or institutions that are accredited investors (“</w:t>
      </w:r>
      <w:r>
        <w:rPr>
          <w:rFonts w:ascii="Times New Roman;Times;Serif" w:hAnsi="Times New Roman;Times;Serif"/>
          <w:b/>
          <w:i w:val="false"/>
          <w:caps w:val="false"/>
          <w:smallCaps w:val="false"/>
          <w:sz w:val="20"/>
        </w:rPr>
        <w:t>IAIs</w:t>
      </w:r>
      <w:r>
        <w:rPr>
          <w:rFonts w:ascii="Times New Roman;Times;Serif" w:hAnsi="Times New Roman;Times;Serif"/>
          <w:b w:val="false"/>
          <w:i w:val="false"/>
          <w:caps w:val="false"/>
          <w:smallCaps w:val="false"/>
          <w:sz w:val="20"/>
        </w:rPr>
        <w:t>”), as such terms are respectively defined in Rule 144A and Rule 501(a) under the Securities Act, to determine whether such investors might have an interest in the offering of the Offered Securities; “</w:t>
      </w:r>
      <w:r>
        <w:rPr>
          <w:rFonts w:ascii="Times New Roman;Times;Serif" w:hAnsi="Times New Roman;Times;Serif"/>
          <w:b/>
          <w:i w:val="false"/>
          <w:caps w:val="false"/>
          <w:smallCaps w:val="false"/>
          <w:sz w:val="20"/>
        </w:rPr>
        <w:t>Section 5(d) Oral Communication</w:t>
      </w:r>
      <w:r>
        <w:rPr>
          <w:rFonts w:ascii="Times New Roman;Times;Serif" w:hAnsi="Times New Roman;Times;Serif"/>
          <w:b w:val="false"/>
          <w:i w:val="false"/>
          <w:caps w:val="false"/>
          <w:smallCaps w:val="false"/>
          <w:sz w:val="20"/>
        </w:rPr>
        <w:t>” 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of the Offered Securities; “</w:t>
      </w:r>
      <w:r>
        <w:rPr>
          <w:rFonts w:ascii="Times New Roman;Times;Serif" w:hAnsi="Times New Roman;Times;Serif"/>
          <w:b/>
          <w:i w:val="false"/>
          <w:caps w:val="false"/>
          <w:smallCaps w:val="false"/>
          <w:sz w:val="20"/>
        </w:rPr>
        <w:t>Marketing Materials</w:t>
      </w:r>
      <w:r>
        <w:rPr>
          <w:rFonts w:ascii="Times New Roman;Times;Serif" w:hAnsi="Times New Roman;Times;Serif"/>
          <w:b w:val="false"/>
          <w:i w:val="false"/>
          <w:caps w:val="false"/>
          <w:smallCaps w:val="false"/>
          <w:sz w:val="20"/>
        </w:rPr>
        <w:t>” means any materials or information provided to investors by, or with the approval of, the Company in connection with the marketing of the offering of the Offered Securities, including any roadshow or investor presentations made to investors by the Company (whether in person or electronically); and “</w:t>
      </w:r>
      <w:r>
        <w:rPr>
          <w:rFonts w:ascii="Times New Roman;Times;Serif" w:hAnsi="Times New Roman;Times;Serif"/>
          <w:b/>
          <w:i w:val="false"/>
          <w:caps w:val="false"/>
          <w:smallCaps w:val="false"/>
          <w:sz w:val="20"/>
        </w:rPr>
        <w:t>Permitted Section 5(d) Communication</w:t>
      </w:r>
      <w:r>
        <w:rPr>
          <w:rFonts w:ascii="Times New Roman;Times;Serif" w:hAnsi="Times New Roman;Times;Serif"/>
          <w:b w:val="false"/>
          <w:i w:val="false"/>
          <w:caps w:val="false"/>
          <w:smallCaps w:val="false"/>
          <w:sz w:val="20"/>
        </w:rPr>
        <w:t xml:space="preserve">” means the Section 5(d) Written Communication(s) and Marketing Materials listed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that is or is deemed to be incorporated by reference in the Registration Statement, the Preliminary Prospectus, any preliminary prospectus, the Base Prospectus or the Prospectus, as the case may be. All references in this Agreement to (i) the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and (ii) the Prospectus shall be deemed to include any “electronic Prospectus” provided for use in connection with the offering of the Offered Securities as contemplated by Section 3(n)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its agreements with the Underwriters as follows: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 Representations and Warranties of the Company. </w:t>
      </w:r>
      <w:r>
        <w:rPr>
          <w:rFonts w:ascii="Times New Roman;Times;Serif" w:hAnsi="Times New Roman;Times;Serif"/>
          <w:b w:val="false"/>
          <w:i w:val="false"/>
          <w:caps w:val="false"/>
          <w:smallCaps w:val="false"/>
          <w:sz w:val="20"/>
        </w:rPr>
        <w:t>The Company hereby represents, warrants and covenants to each Underwriter, as of the date of this Agreement, as of the First Closing Date (as hereinafter defined) and as of each Option Closing Date (as hereinafter defined), if any,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caps w:val="false"/>
          <w:smallCaps w:val="false"/>
          <w:sz w:val="20"/>
        </w:rPr>
        <w:t>Compliance with Registration Requirements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Registration Statement has become effective under the Securities Act. The 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 At the time the Company’s Annual Report on Form 10-K for the year ended December 31, 2025 was filed with the Commission, or, if later, at the time the Registration Statement was originally filed with the Commission, as well as at the time the Company or any person acting on its behalf (within the meaning, for this clause only, of Rule 163(c) under the Securities Act) made any offer relating to the Offered Securities in reliance on the exemption contained in Rule 163 under the Securities Act, the Company was a “well-known seasoned issuer” as defined in Rule 405 under the Securities Act, and as of the date hereof, the Company met or meets the then-applicable requirements for use of Form S-3 under the Securities Act. The Registration Statement is an “automatic shelf registration statement,” as defined in Rule 405 under the Securities Act, and became effective on January 9, 2026. The Company has not received from the Commission any notice pursuant to Rule 401(g)(2) under the Securities Act objecting to the Company’s use of the automatic shelf registration form.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 As of the date of this Agreement, the Company is an “experienced issuer” as defined in FINRA Rule 5110(j)(6).</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caps w:val="false"/>
          <w:smallCaps w:val="false"/>
          <w:sz w:val="20"/>
        </w:rPr>
        <w:t>Disclosure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Each preliminary prospectus and the Prospectus when filed complied in all material respects with the Securities Act and, if filed by electronic transmission pursuant to EDGAR, was identical (except as may be permitted by Regulation S-T under the Securities Act) to the copy thereof delivered to the Underwriters for use in connection with the offer and sale of the Offered Securities. Each of the Registration Statement and any post-effective amendment thereto, at the time it became or becomes effective, complied and will comply in all material respects with the Securities Act and the Trust Indenture Act of 1939, as amended, and the rules and regulations of the Commission thereunder (collectively, the “</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(as defined in Section 2) and at each applicable Option Closing Date (as defined in Section 2), will not, contain any untrue statement of a material fact or omit to state a material fact necessary in order to make the statements therein, in the light of the circumstances under which they were made, not misleading. The Prospectus,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(i) that part of the Registration Statement that constitutes the Statement of Eligibility and Qualification (Form T-1) of the Trustee under the Trust Indenture Act or (ii)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 The statements set forth in the Registration Statement, the Time of Sale Prospectus and the Prospectus under the caption “Description of Notes” and “Description of Capital Stock” insofar as they purport to constitute a summary of the terms of the Securities and the Common Stock, are accurate, complete and fair in all material respects.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caps w:val="false"/>
          <w:smallCaps w:val="false"/>
          <w:sz w:val="20"/>
        </w:rPr>
        <w:t>Free Writing Prospectuses; Road Show</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of the determination date referenced in Rule 164(h) under the Securities Act, the Company was not, is not or will not be (as applicable) an “ineligible issuer” in connection with the offering of the Offered Securities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Offered Securities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and electronic road shows, if any, furnished to you before first use,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in order to make the statements therein, in the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caps w:val="false"/>
          <w:smallCaps w:val="false"/>
          <w:sz w:val="20"/>
        </w:rPr>
        <w:t xml:space="preserve">Testing-the-Waters Materials. </w:t>
      </w:r>
      <w:r>
        <w:rPr>
          <w:rFonts w:ascii="Times New Roman;Times;Serif" w:hAnsi="Times New Roman;Times;Serif"/>
          <w:b w:val="false"/>
          <w:i w:val="false"/>
          <w:caps w:val="false"/>
          <w:smallCaps w:val="false"/>
          <w:sz w:val="20"/>
        </w:rPr>
        <w:t>The Company (i) has not alone engaged in any Testing-the-Waters Communications in connection with the offering to which this Agreement relates and (ii) has not authorized anyone to engage in Testing-the-Waters Communications in connection with the offering to which this Agreement relates. The Company has not distributed or approved for distribution any Written Testing-the-Waters Communications in connection with the offering of the Offered Securities. “Testing-the-Waters Communication” means any oral or written communication with potential investors undertaken in reliance on Rule 163B under the Securities Act. “Written Testing-the-Waters Communication” means any Testing-the-Waters Communication that is a written communication within the meaning of Rule 405 under the Securities Act</w:t>
      </w:r>
      <w:r>
        <w:rPr>
          <w:rFonts w:ascii="Times New Roman;Times;Serif" w:hAnsi="Times New Roman;Times;Serif"/>
          <w:b/>
          <w:i/>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i/>
          <w:caps w:val="false"/>
          <w:smallCaps w:val="false"/>
          <w:sz w:val="20"/>
        </w:rPr>
        <w:t>Distribution of Offering Material by the Company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Prior to the later of (i) the expiration or termination of the option granted to the several Underwriters in Section 2 and (ii) the completion of the Underwriters’ distribution of the Offered Securities, the Company has not distributed and will not distribute any offering material in connection with the offering and sale of the Offered Securities other than the Registration Statement, the Time of Sale Prospectus, the Prospectus or any free writing prospectus reviewed and consented to by the Representatives, the free writing prospectuses, if any, identified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 and any Permitted Section 5(d) Communications.</w:t>
      </w:r>
    </w:p>
    <w:p>
      <w:pPr>
        <w:pStyle w:val="TextBody"/>
        <w:bidi w:val="0"/>
        <w:spacing w:before="0" w:after="0"/>
        <w:ind w:left="0" w:right="0" w:firstLine="721"/>
        <w:jc w:val="left"/>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i/>
          <w:caps w:val="false"/>
          <w:smallCaps w:val="false"/>
          <w:sz w:val="20"/>
        </w:rPr>
        <w:t xml:space="preserve">Due Authorization. </w:t>
      </w:r>
      <w:r>
        <w:rPr>
          <w:rFonts w:ascii="Times New Roman;Times;Serif" w:hAnsi="Times New Roman;Times;Serif"/>
          <w:b w:val="false"/>
          <w:i w:val="false"/>
          <w:caps w:val="false"/>
          <w:smallCaps w:val="false"/>
          <w:sz w:val="20"/>
        </w:rPr>
        <w:t>The Company has full right, power and authority to execute and deliver this Agreement, the Indenture and the Offered Securities (collectively,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and to perform its obligations hereunder and thereunder; and all action required to be taken for the due and proper authorization, execution and delivery by it of each of the Transaction Documents and the consummation by it of the transactions contemplated thereby or by the Time of Sale Prospectus and the Prospectus has been duly and validly taken.</w:t>
      </w:r>
    </w:p>
    <w:p>
      <w:pPr>
        <w:pStyle w:val="TextBody"/>
        <w:bidi w:val="0"/>
        <w:spacing w:before="0" w:after="0"/>
        <w:ind w:left="0" w:right="0" w:firstLine="72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i/>
          <w:caps w:val="false"/>
          <w:smallCaps w:val="false"/>
          <w:sz w:val="20"/>
        </w:rPr>
        <w:t>The Indenture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Indenture has been duly authorized by the Company and, when duly executed and delivered in accordance with its terms by each of the parties thereto, will constitute a valid and legally binding agreement of the Company enforceable against the Company in accordance with its terms, except as enforceability may be limited by applicable bankruptcy, insolvency or similar laws affecting the enforcement of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at the First Closing Date (and, if applicable, at each Option Closing Date), the Indenture will conform in all material respects to the requirements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i/>
          <w:caps w:val="false"/>
          <w:smallCaps w:val="false"/>
          <w:sz w:val="20"/>
        </w:rPr>
        <w:t>Authorization of the Offered Securities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Offered Securities have been duly authorized for issuance and sale pursuant to this Agreement and at the First Closing Date and any Option Closing Date, as the case may be, will have been duly executed by the Company and, when authenticated, issued and delivered by the Company as provided in the Indenture against payment therefor pursuant to this Agreement, will be duly and validly issued and outstanding and will constitute valid and legally binding obligations of the Company enforceable against the Company in accordance with their terms, subject to the Enforceability Exceptions, and will be entitled to the benefits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i/>
          <w:caps w:val="false"/>
          <w:smallCaps w:val="false"/>
          <w:sz w:val="20"/>
        </w:rPr>
        <w:t>The Maximum Number of Underlying Securities</w:t>
      </w:r>
      <w:r>
        <w:rPr>
          <w:rFonts w:ascii="Times New Roman;Times;Serif" w:hAnsi="Times New Roman;Times;Serif"/>
          <w:b w:val="false"/>
          <w:i w:val="false"/>
          <w:caps w:val="false"/>
          <w:smallCaps w:val="false"/>
          <w:sz w:val="20"/>
        </w:rPr>
        <w:t>. Upon issuance and delivery of the Offered Securities in accordance with this Agreement and the Indenture, the Offered Securities will be convertible at the option of the holder thereof into cash, Underlying Securities, or a combination of cash and Underlying Securities, at the Company’s election, in accordance with the terms of the Offered Securities and the Indenture. A number of Underlying Securities equal to the product of (x) the number of Offered Securities (assuming the Underwriters exercise their over-allotment option to purchase Optional Securities in full) and (y) the conversion rate for the Offered Securities (assuming the maximum increase to such conversion rate for a conversion of Offered Securities in connection with a “make-whole fundamental change” or a redemption of the Offered Securities) (the “</w:t>
      </w:r>
      <w:r>
        <w:rPr>
          <w:rFonts w:ascii="Times New Roman;Times;Serif" w:hAnsi="Times New Roman;Times;Serif"/>
          <w:b/>
          <w:i w:val="false"/>
          <w:caps w:val="false"/>
          <w:smallCaps w:val="false"/>
          <w:sz w:val="20"/>
        </w:rPr>
        <w:t>Maximum Number of Underlying Securities</w:t>
      </w:r>
      <w:r>
        <w:rPr>
          <w:rFonts w:ascii="Times New Roman;Times;Serif" w:hAnsi="Times New Roman;Times;Serif"/>
          <w:b w:val="false"/>
          <w:i w:val="false"/>
          <w:caps w:val="false"/>
          <w:smallCaps w:val="false"/>
          <w:sz w:val="20"/>
        </w:rPr>
        <w:t>”) have been duly authorized and reserved for issuance by the Company by all necessary corporate action and such Maximum Number of Underlying Securities, if and when issued upon any conversion of the Offered Securities in accordance with the terms of the Offered Securities and the Indenture, will be validly issued, fully paid and non-assessable; no holder of such Underlying Securities will be subject to personal liability by reason of being such a holder; and the issuance of such Underlying Securities upon any such conversion will not be subject to the preemptive or other similar rights of any securityholder of the Company.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i/>
          <w:caps w:val="false"/>
          <w:smallCaps w:val="false"/>
          <w:sz w:val="20"/>
        </w:rPr>
        <w:t>Descriptions of the Transaction Documents</w:t>
      </w:r>
      <w:r>
        <w:rPr>
          <w:rFonts w:ascii="Times New Roman;Times;Serif" w:hAnsi="Times New Roman;Times;Serif"/>
          <w:b w:val="false"/>
          <w:i w:val="false"/>
          <w:caps w:val="false"/>
          <w:smallCaps w:val="false"/>
          <w:sz w:val="20"/>
        </w:rPr>
        <w:t>. Each Transaction Document conforms (or, at the First Closing Date (and, if applicable, at each Option Closing Date), will conform) in all material respects to the description thereof contained in each of the Registration Statement, the Time of Sale Prospectus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i/>
          <w:caps w:val="false"/>
          <w:smallCaps w:val="false"/>
          <w:sz w:val="20"/>
        </w:rPr>
        <w:t>No Applicable Registration or Other Similar Rights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There are no persons with registration or other similar rights to have any equity or debt securities registered for sale under the Registration Statement or included in the offering contemplated by this Agreement, except for such rights as have been duly waived or satisfied.</w:t>
      </w:r>
    </w:p>
    <w:p>
      <w:pPr>
        <w:pStyle w:val="TextBody"/>
        <w:bidi w:val="0"/>
        <w:spacing w:before="0" w:after="0"/>
        <w:ind w:left="0" w:right="0" w:firstLine="721"/>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i/>
          <w:caps w:val="false"/>
          <w:smallCaps w:val="false"/>
          <w:sz w:val="20"/>
        </w:rPr>
        <w:t>No Material Adverse Change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Except as otherwise disclosed in the Registration Statement, the Time of Sale Prospectus and the Prospectus, subsequent to the respective dates as of which information is given in the Registration Statement, the Time of Sale Prospectus and the Prospectus: (i) there has been no material adverse change, or any development that would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or (B) the ability of the Company to consummate the transactions contemplated by this Agreement or perform its obligations under the Transaction Documents (any such change being referred to herein as a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(ii) the Company has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has not entered into any transactions not in the ordinary course of business; and (iii) there has not been any material decrease in the capital stock or any material increase in any short-term or long-term indebtedness of the Company and there has been no dividend or distribution of any kind declared, paid or made by the Company on any class of capital stock, or any repurchase or redemption by the Company of any class of capital stock.</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 </w:t>
      </w:r>
      <w:r>
        <w:rPr>
          <w:rFonts w:ascii="Times New Roman;Times;Serif" w:hAnsi="Times New Roman;Times;Serif"/>
          <w:b/>
          <w:i/>
          <w:caps w:val="false"/>
          <w:smallCaps w:val="false"/>
          <w:sz w:val="20"/>
        </w:rPr>
        <w:t>Independent Accountants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Boulay PLLP, which has expressed its opinion with respect to the financial statements (which term as used in this Agreement includes the related notes thereto) filed with the Commission as a part of the Registration Statement, the Time of Sale Prospectus and the Prospectus is, (i) an independent registered public accounting firm as required by the Securities Act, the Exchange Act, and the rules of the Public Company Accounting Oversight Board (“</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 </w:t>
      </w:r>
      <w:r>
        <w:rPr>
          <w:rFonts w:ascii="Times New Roman;Times;Serif" w:hAnsi="Times New Roman;Times;Serif"/>
          <w:b/>
          <w:i/>
          <w:caps w:val="false"/>
          <w:smallCaps w:val="false"/>
          <w:sz w:val="20"/>
        </w:rPr>
        <w:t>Financial Statements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financial statements of the Company included or incorporated by reference in the Registration Statement, the Time of Sale Prospectus and the Prospectus, together with the related notes and schedules, present fairly the consolidated financial position of the Company as of the dates indicated and the results of their operations, changes in stockholders’ equity and cash flows for the periods specified. Such financial statements have been prepared in compliance with the requirements of the Securities Act and the Exchange Act and in conformity with generally accepted accounting principles applied on a consistent basis throughout the periods involved, except as may be expressly stated in the related notes thereto. The interactive data in eXtensible Business Reporting Language included in the Registration Statement fairly presents the information called for in all material respects and has been prepared in accordance with the Commission’s rules and guidelines applicable thereto. No other historical or pro forma financial statements or supporting schedules are required to be included in the Registration Statement, the Time of Sale Prospectus or the Prospectus. The other financial data set forth in or incorporated by reference in each of the Registration Statement, the Time of Sale Prospectus and the Prospectus has been derived from the accounting records of the Company and fairly presents the information shown thereby. All disclosures contained in the Registration Statement, any preliminary prospectus or the Prospectus and any free writing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 </w:t>
      </w:r>
      <w:r>
        <w:rPr>
          <w:rFonts w:ascii="Times New Roman;Times;Serif" w:hAnsi="Times New Roman;Times;Serif"/>
          <w:b/>
          <w:i/>
          <w:caps w:val="false"/>
          <w:smallCaps w:val="false"/>
          <w:sz w:val="20"/>
        </w:rPr>
        <w:t>Company’s Accounting System</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makes and keeps accurate books and records and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Time of Sale Prospectus and the Prospectus fairly presents the information called for in all material respects and is prepared in all material respects in accordance with the Commission’s rules and guidelines applicable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 </w:t>
      </w:r>
      <w:r>
        <w:rPr>
          <w:rFonts w:ascii="Times New Roman;Times;Serif" w:hAnsi="Times New Roman;Times;Serif"/>
          <w:b/>
          <w:i/>
          <w:caps w:val="false"/>
          <w:smallCaps w:val="false"/>
          <w:sz w:val="20"/>
        </w:rPr>
        <w:t>Disclosure Controls and Procedures; Deficiencies in or Changes to Internal Control Over Financial Reporting</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has established and maintains disclosure controls and procedures (as defined in Rules 13a-15 and 15d-15 under the Exchange Act), which (i) are designed to ensure that material information relating to the Company is made known to the Company’s principal executive officer and its principal financial officer by others within the Company,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pStyle w:val="TextBody"/>
        <w:bidi w:val="0"/>
        <w:spacing w:before="0" w:after="0"/>
        <w:ind w:left="0" w:right="0" w:firstLine="721"/>
        <w:jc w:val="both"/>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 </w:t>
      </w:r>
      <w:r>
        <w:rPr>
          <w:rFonts w:ascii="Times New Roman;Times;Serif" w:hAnsi="Times New Roman;Times;Serif"/>
          <w:b/>
          <w:i/>
          <w:caps w:val="false"/>
          <w:smallCaps w:val="false"/>
          <w:sz w:val="20"/>
        </w:rPr>
        <w:t>Incorporation and Good Standing of the Company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has been duly incorporated and is validly existing as a corporation in good standing under the laws of the State of Delaware and has the corporate power and authority to own, lease and operate its properties and to conduct its business as described in the Registration Statement, the Time of Sale Prospectus and the Prospectus and to enter into and perform its obligations under each of the Transaction Documents. The Company is duly qualified as a foreign corporation to transact business and is in good standing in the State of Minnesota and is duly qualified in each other jurisdiction in which such qualification is required, whether by reason of the ownership or leasing of property or the conduct of business, except where the failure to be so qualified would not, individually or in the aggregate, reasonably be expected to have a Material Adverse Change.</w:t>
      </w:r>
    </w:p>
    <w:p>
      <w:pPr>
        <w:pStyle w:val="TextBody"/>
        <w:bidi w:val="0"/>
        <w:spacing w:before="0" w:after="0"/>
        <w:ind w:left="0" w:right="0" w:firstLine="721"/>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72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 </w:t>
      </w:r>
      <w:r>
        <w:rPr>
          <w:rFonts w:ascii="Times New Roman;Times;Serif" w:hAnsi="Times New Roman;Times;Serif"/>
          <w:b/>
          <w:i/>
          <w:caps w:val="false"/>
          <w:smallCaps w:val="false"/>
          <w:sz w:val="20"/>
        </w:rPr>
        <w:t>Subsidiaries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does not own or control, directly or indirectly, any corporation, association or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 </w:t>
      </w:r>
      <w:r>
        <w:rPr>
          <w:rFonts w:ascii="Times New Roman;Times;Serif" w:hAnsi="Times New Roman;Times;Serif"/>
          <w:b/>
          <w:i/>
          <w:caps w:val="false"/>
          <w:smallCaps w:val="false"/>
          <w:sz w:val="20"/>
        </w:rPr>
        <w:t>Capitalization and Other Capital Stock Matters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authorized, issued and outstanding capital stock of the Company is as set forth in the Registration Statement, the Time of Sale Prospectus and the Prospectus (other than for subsequent issuances, if any, pursuant to employee benefit plans, or upon the exercise or conversion of outstanding options, warrants or convertible securities, in each case described in the Registration Statement, the Time of Sale Prospectus and the Prospectus). The Offered Securities conform in all material respects to the description thereof contained in the Time of Sale Prospectus. All of the issued and outstanding capital stock or other equity interest in the Company have been duly authorized and validly issued, are fully paid and non-assessable and have been issued in compliance with all federal and state securities laws. None of the outstanding shares of capital stock or other equity interest in the Company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or other equity interest in the Company other than those described in the Registration Statement, the Time of Sale Prospectus and the Prospectus. The descriptions of the Company’s stock option, stock bonus and other stock plans or any other arrangements, and the options or other rights granted thereunder, set forth in the Registration Statement, the Time of Sale Prospectus and the Prospectus accurately and fairly presents the information required to be shown with respect to such plans, arrangements, options and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 </w:t>
      </w:r>
      <w:r>
        <w:rPr>
          <w:rFonts w:ascii="Times New Roman;Times;Serif" w:hAnsi="Times New Roman;Times;Serif"/>
          <w:b/>
          <w:i/>
          <w:caps w:val="false"/>
          <w:smallCaps w:val="false"/>
          <w:sz w:val="20"/>
        </w:rPr>
        <w:t>Stock Exchange Listing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Common Stock is registered pursuant to Section 12(b) or 12(g) of the Exchange Act. The Company’s shares of Common Stock are listed on The Nasdaq Capital Market (the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and the Company has taken no action designed to, or likely to have the effect of, terminating the registration of the Common Stock under the Exchange Act or delisting the shares of Common Stock from the Nasdaq, nor has the Company received any notification that the Commission or the Nasdaq is contemplating terminating such registration or listing. The Company is in compliance with all applicable listing requirements of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 </w:t>
      </w:r>
      <w:r>
        <w:rPr>
          <w:rFonts w:ascii="Times New Roman;Times;Serif" w:hAnsi="Times New Roman;Times;Serif"/>
          <w:b/>
          <w:i/>
          <w:caps w:val="false"/>
          <w:smallCaps w:val="false"/>
          <w:sz w:val="20"/>
        </w:rPr>
        <w:t>Non-Contravention of Existing Instruments; No Further Authorizations or Approvals Required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is not in violation of its charter or by-laws nor is it in default (or, with the giving of notice or lapse of time, would be in default) (“</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is a party or by which it may be bound, or to which its properties or assets are subject (each, an “</w:t>
      </w:r>
      <w:r>
        <w:rPr>
          <w:rFonts w:ascii="Times New Roman;Times;Serif" w:hAnsi="Times New Roman;Times;Serif"/>
          <w:b/>
          <w:i w:val="false"/>
          <w:caps w:val="false"/>
          <w:smallCaps w:val="false"/>
          <w:sz w:val="20"/>
        </w:rPr>
        <w:t>Existing Instrument</w:t>
      </w:r>
      <w:r>
        <w:rPr>
          <w:rFonts w:ascii="Times New Roman;Times;Serif" w:hAnsi="Times New Roman;Times;Serif"/>
          <w:b w:val="false"/>
          <w:i w:val="false"/>
          <w:caps w:val="false"/>
          <w:smallCaps w:val="false"/>
          <w:sz w:val="20"/>
        </w:rPr>
        <w:t>”), except for such Defaults as would not be expected, individually or in the aggregate, to result in a Material Adverse Change. The Company’s execution, delivery and performance of each of the Transaction Documents, consummation of the transactions contemplated thereby and by the Registration Statement, the Time of Sale Prospectus and the Prospectus and the issuance and sale of the Offered Securities, including the issuance and delivery of any Common Stock and the payment of any cash, in each case, due upon conversion thereof (including the use of proceeds from the sale of the Offered Securities as described in the Registration Statement, the Time of Sale Prospectus and the Prospectus under the caption “Use of Proceeds”) (i) have been duly authorized by all necessary corporate action and will not result in any violation of the provisions of the charter or by-laws of the Company, (ii) will not conflict with or constitute a breach of, or Default or a Debt Repayment Triggering Event (as defined below) under, or result in the creation or imposition of any lien, charge or encumbrance upon any property or assets of the Company pursuant to, or require the consent of any other party to, any Existing Instrument and (iii) will not result in any violation of any law, administrative regulation or administrative or court decree applicable to the Company. No consent, approval, authorization or other order of, or registration or filing with, any court or other governmental or regulatory authority or agency, is required for the Company’s execution, delivery and performance of each of the Transaction Documents and consummation of the transactions contemplated thereby and by the Registration Statement, the Time of Sale Prospectus and the Prospectus, except such as have been obtained or made by the Company and are in full force and effect, under the Securities Act, including, but not limited to, the registration of the Offered Securities, the qualification of the Indenture under the Trust Indenture Act and such as may be required under applicable state securities or blue sky laws or the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As used herein, a “</w:t>
      </w:r>
      <w:r>
        <w:rPr>
          <w:rFonts w:ascii="Times New Roman;Times;Serif" w:hAnsi="Times New Roman;Times;Serif"/>
          <w:b/>
          <w:i w:val="false"/>
          <w:caps w:val="false"/>
          <w:smallCaps w:val="false"/>
          <w:sz w:val="20"/>
        </w:rPr>
        <w:t>Debt Repayment Triggering Event</w:t>
      </w:r>
      <w:r>
        <w:rPr>
          <w:rFonts w:ascii="Times New Roman;Times;Serif" w:hAnsi="Times New Roman;Times;Serif"/>
          <w:b w:val="false"/>
          <w:i w:val="false"/>
          <w:caps w:val="false"/>
          <w:smallCaps w:val="false"/>
          <w:sz w:val="20"/>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i/>
          <w:caps w:val="false"/>
          <w:smallCaps w:val="false"/>
          <w:sz w:val="20"/>
        </w:rPr>
        <w:t>Compliance with Laws.</w:t>
      </w:r>
      <w:r>
        <w:rPr>
          <w:rFonts w:ascii="Times New Roman;Times;Serif" w:hAnsi="Times New Roman;Times;Serif"/>
          <w:b w:val="false"/>
          <w:i w:val="false"/>
          <w:caps w:val="false"/>
          <w:smallCaps w:val="false"/>
          <w:sz w:val="20"/>
        </w:rPr>
        <w:t xml:space="preserve"> The Company has been and is in compliance with all applicable laws, rules and regulations, except where failure to be so in compliance would not be expected, individually or in the aggregate, to result in a Material Adverse Change.</w:t>
      </w:r>
    </w:p>
    <w:p>
      <w:pPr>
        <w:pStyle w:val="TextBody"/>
        <w:bidi w:val="0"/>
        <w:spacing w:before="0" w:after="0"/>
        <w:ind w:left="0" w:right="0" w:firstLine="721"/>
        <w:jc w:val="both"/>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 </w:t>
      </w:r>
      <w:r>
        <w:rPr>
          <w:rFonts w:ascii="Times New Roman;Times;Serif" w:hAnsi="Times New Roman;Times;Serif"/>
          <w:b/>
          <w:i/>
          <w:caps w:val="false"/>
          <w:smallCaps w:val="false"/>
          <w:sz w:val="20"/>
        </w:rPr>
        <w:t>No Material Actions or Proceedings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There is no action, suit, proceeding, inquiry or investigation brought by or before any legal or governmental entity now pending or, to the knowledge of the Company, threatened, against or affecting the Company, which would be expected, individually or in the aggregate, to result in a Material Adverse Change. No material labor dispute with the employees of the Company, or with the employees of any principal supplier, manufacturer, customer or contractor of the Company, exists or, to the knowledge of the Company, is threatened or imminent.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 </w:t>
      </w:r>
      <w:r>
        <w:rPr>
          <w:rFonts w:ascii="Times New Roman;Times;Serif" w:hAnsi="Times New Roman;Times;Serif"/>
          <w:b/>
          <w:i/>
          <w:caps w:val="false"/>
          <w:smallCaps w:val="false"/>
          <w:sz w:val="20"/>
        </w:rPr>
        <w:t>Intellectual Property Rights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owns, or has obtained valid and enforceable licenses for, the inventions, patent applications, patents, trademarks, trade names, service names, copyrights, trade secrets and other intellectual property described in the Registration Statement, the Time of Sale Prospectus and the Prospectus as being owned or licensed by it or which are necessary for the conduct of its businesses as currently conducted or as currently proposed to be conducted (collectively,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and the conduct of its businesses does not and, to the Company’s knowledge, will not, infringe, misappropriate or otherwise conflict in any material respect with any such rights of others. The Intellectual Property of the Company has not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except for customary reversionary rights of third-party licensors with respect to Intellectual Property that is disclosed in the Registration Statement, the Time of Sale Prospectus and the Prospectus as licensed to the Company; and (ii) there is no infringement by third parties of any Intellectual Property.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infringes or otherwise violates, or would, upon the commercialization of any product or service described in the Registration Statement, the Time of Sale Prospectus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has complied with the terms of each agreement pursuant to which Intellectual Property has been licensed to the Company, and all such agreements are in full force and effect. To the Company’s knowledge, there are no material defects in any of the patents or patent applications included in the Intellectual Property. The Company has taken all reasonable steps to protect, maintain and safeguard its Intellectual Property, including the execution of appropriate nondisclosure, confidentiality agreements and invention assignment agreements and invention assignments with their employees, and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Company owned Intellectual Property or technology (including information technology and outsourced arrangements) employed by the Company has been obtained or is being used by the Company in violation of any contractual obligation binding on the Company or any of its officers, directors or employees or otherwise in violation of the rights of any persons. The product candidates described in the Registration Statement, the Time of Sale Prospectus and the Prospectus as under development by the Company fall within the scope of the claims of one or more patents owned by, or exclusively licensed to, the Company.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 </w:t>
      </w:r>
      <w:r>
        <w:rPr>
          <w:rFonts w:ascii="Times New Roman;Times;Serif" w:hAnsi="Times New Roman;Times;Serif"/>
          <w:b/>
          <w:i/>
          <w:caps w:val="false"/>
          <w:smallCaps w:val="false"/>
          <w:sz w:val="20"/>
        </w:rPr>
        <w:t>All Necessary Permits, etc</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possesses such valid and current certificates, authorizations or permits required by state, federal or foreign regulatory agencies or bodies to conduct its businesses as currently conducted and as described in the Registration Statement, the Time of Sale Prospectus or the Prospectus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except where the failure to so possess or comply would not reasonably be expected, individually or in the aggregate, to result in a Material Adverse Change. The Company is not in violation of, or in default under, any of the Permits nor has it received any notice of proceedings relating to the revocation or modification of, or non-compliance with, any such certificate, authorization or permit, except where such violation, default, revocation, modification or non-compliance would not reasonably be expected, individually or in the aggregate, to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(z) </w:t>
      </w:r>
      <w:r>
        <w:rPr>
          <w:rFonts w:ascii="Times New Roman;Times;Serif" w:hAnsi="Times New Roman;Times;Serif"/>
          <w:b/>
          <w:i/>
          <w:caps w:val="false"/>
          <w:smallCaps w:val="false"/>
          <w:sz w:val="20"/>
        </w:rPr>
        <w:t>Title to Properties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has good and marketable title to all of the real and personal property and other assets reflected as owned in the financial statements referred to in Section 1(n) above (or elsewhere in the Registration Statement, the Time of Sale Prospectus or the Prospectus), in each case free and clear of any security interests, mortgages, liens, encumbrances, equities, adverse claims and other defects, other than those described in the Registration Statement, the Time of Sale Prospectus or the Prospectus. The real property, improvements, equipment and personal property held under lease by the Company are held under valid and enforceable leases, with such exceptions as are not material and do not materially interfere with the use made or proposed to be made of such real property, improvements, equipment or personal property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(aa) </w:t>
      </w:r>
      <w:r>
        <w:rPr>
          <w:rFonts w:ascii="Times New Roman;Times;Serif" w:hAnsi="Times New Roman;Times;Serif"/>
          <w:b/>
          <w:i/>
          <w:caps w:val="false"/>
          <w:smallCaps w:val="false"/>
          <w:sz w:val="20"/>
        </w:rPr>
        <w:t>Tax Law Compliance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has (i) filed all tax returns required to be filed by it (or has properly requested extensions thereof) and (ii) has paid all taxes required to be paid by it and, if due and payable, any related or similar assessment, fine or penalty levied against it, except as may be being contested in good faith and by appropriate proceedings, except, in each case, where a failure to file such tax returns or pay such taxes or amounts would not, individually or in the aggregate, reasonably be expected to have a Material Adverse Change. The Company has made adequate charges, accruals and reserves in the applicable financial statements referred to in Section 1(n) above in respect of all federal, state and foreign income and franchise taxes for all periods ending on or prior to the dates indicated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(bb) </w:t>
      </w:r>
      <w:r>
        <w:rPr>
          <w:rFonts w:ascii="Times New Roman;Times;Serif" w:hAnsi="Times New Roman;Times;Serif"/>
          <w:b/>
          <w:i/>
          <w:caps w:val="false"/>
          <w:smallCaps w:val="false"/>
          <w:sz w:val="20"/>
        </w:rPr>
        <w:t>Insurance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is insured by recognized, financially sound and reputable institutions with policies in such amounts and with such deductibles and covering such risks as are generally deemed adequate and customary for its business including, but not limited to, policies covering real and personal property owned or leased by the Company against theft, damage, destruction, acts of vandalism and earthquakes and policies covering the Company for product liability claims and clinical trial liability claims.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would not be expected to result in a Material Adverse Change. The Company has not been denied any insurance coverage which it has sought or for which it has applied, except as would not be expected to result, individually or in the aggregate, in a Material Adverse Change.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(cc) </w:t>
      </w:r>
      <w:r>
        <w:rPr>
          <w:rFonts w:ascii="Times New Roman;Times;Serif" w:hAnsi="Times New Roman;Times;Serif"/>
          <w:b/>
          <w:i/>
          <w:caps w:val="false"/>
          <w:smallCaps w:val="false"/>
          <w:sz w:val="20"/>
        </w:rPr>
        <w:t>Compliance with Environmental Laws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Except as would not be expected, individually or in the aggregate, to result in a Material Adverse Change: (i) the Company is not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or to the manufacture, processing, distribution, use, treatment, storage, disposal, transport or handling of Hazardous Materials (collectively,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the Company has all permits, authorizations and approvals required under any applicable Environmental Laws and is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and (iv) there are no events or circumstances that might reasonably be expected to form the basis of an order for clean-up or remediation, or an action, suit or proceeding by any private party or governmental body or agency, against or affecting the Company relating to Hazardous Materials or any Environmental Laws.</w:t>
      </w:r>
    </w:p>
    <w:p>
      <w:pPr>
        <w:pStyle w:val="TextBody"/>
        <w:bidi w:val="0"/>
        <w:spacing w:before="0" w:after="0"/>
        <w:ind w:left="0" w:right="0" w:firstLine="721"/>
        <w:jc w:val="both"/>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(dd) </w:t>
      </w:r>
      <w:r>
        <w:rPr>
          <w:rFonts w:ascii="Times New Roman;Times;Serif" w:hAnsi="Times New Roman;Times;Serif"/>
          <w:b/>
          <w:i/>
          <w:caps w:val="false"/>
          <w:smallCaps w:val="false"/>
          <w:sz w:val="20"/>
        </w:rPr>
        <w:t>ERISA Compliance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any “employee benefit plan” (as defined under the Employee Retirement Income Security Act of 1974, as amended, and the regulations and published interpretations thereunder (collectively,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established or maintained by the Company or its “ERISA Affiliates” (as defined below) are in compliance in all material respects with ERISA. “</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with respect to the Company, any member of any group of organizations described in Sections 414(b), (c), (m) or (o) of the Internal Revenue Code of 1986, as amended, and the regulations and published interpretations thereunder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nothing has occurred, whether by action or failure to act, which would cause the loss of such qualification.</w:t>
      </w:r>
    </w:p>
    <w:p>
      <w:pPr>
        <w:pStyle w:val="TextBody"/>
        <w:bidi w:val="0"/>
        <w:spacing w:before="0" w:after="0"/>
        <w:ind w:left="0" w:right="0" w:firstLine="72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(ee) </w:t>
      </w:r>
      <w:r>
        <w:rPr>
          <w:rFonts w:ascii="Times New Roman;Times;Serif" w:hAnsi="Times New Roman;Times;Serif"/>
          <w:b/>
          <w:i/>
          <w:caps w:val="false"/>
          <w:smallCaps w:val="false"/>
          <w:sz w:val="20"/>
        </w:rPr>
        <w:t>Company Not an “Investment Company.”</w:t>
      </w:r>
      <w:r>
        <w:rPr>
          <w:rFonts w:ascii="Times New Roman;Times;Serif" w:hAnsi="Times New Roman;Times;Serif"/>
          <w:b w:val="false"/>
          <w:i w:val="false"/>
          <w:caps w:val="false"/>
          <w:smallCaps w:val="false"/>
          <w:sz w:val="20"/>
        </w:rPr>
        <w:t xml:space="preserve"> The Company is not, and will not be, either after receipt of payment for the Offered Securities or 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(ff) </w:t>
      </w:r>
      <w:r>
        <w:rPr>
          <w:rFonts w:ascii="Times New Roman;Times;Serif" w:hAnsi="Times New Roman;Times;Serif"/>
          <w:b/>
          <w:i/>
          <w:caps w:val="false"/>
          <w:smallCaps w:val="false"/>
          <w:sz w:val="20"/>
        </w:rPr>
        <w:t>No Price Stabilization or Manipulation; Compliance with Regulation 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has not taken, directly or indirectly, any action designed to or that might cause or result in stabilization or manipulation of the price of the Offered Securities or of any “reference security” (as defined in Rule 100 of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with respect to the Offered Securities, whether to facilitate the sale or resale of the Offered Securities or otherwise, and has not taken any action which would directly or indirectly violate Regulation 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(gg) </w:t>
      </w:r>
      <w:r>
        <w:rPr>
          <w:rFonts w:ascii="Times New Roman;Times;Serif" w:hAnsi="Times New Roman;Times;Serif"/>
          <w:b/>
          <w:i/>
          <w:caps w:val="false"/>
          <w:smallCaps w:val="false"/>
          <w:sz w:val="20"/>
        </w:rPr>
        <w:t>Related-Party Transactions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There are no business relationships or related-party transactions involving the Company or any other person required to be described in the Registration Statement, the Time of Sale Prospectus or the Prospectus that have not been described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(hh) </w:t>
      </w:r>
      <w:r>
        <w:rPr>
          <w:rFonts w:ascii="Times New Roman;Times;Serif" w:hAnsi="Times New Roman;Times;Serif"/>
          <w:b/>
          <w:i/>
          <w:caps w:val="false"/>
          <w:smallCaps w:val="false"/>
          <w:sz w:val="20"/>
        </w:rPr>
        <w:t>FINRA Matters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of the information provided to the Underwriters or to counsel for the Underwriters by the Company, its counsel, its officers and directors and the holders of any securities (debt or equity) or options to acquire any securities of the Company in connection with the offering of the Offered Securities is true, complete, correct and compliant with FINRA’s rules and any letters, filings or other supplemental information provided to FINRA pursuant to FINRA Rules is true, complete and correct.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i/>
          <w:caps w:val="false"/>
          <w:smallCaps w:val="false"/>
          <w:sz w:val="20"/>
        </w:rPr>
        <w:t>Parties to Lock-Up Agreements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The Company has furnished to the Underwriters a letter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xml:space="preserve">”) from each of the persons listed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Such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lists the directors and executive officers of the Company. If any additional persons shall become directors or executive officers of the Company prior to the end of the Company Lock-up Period (as defined below), the Company shall cause each such person, prior to or contemporaneously with their appointment or election as a director or executive officer of the Company, to execute and deliver to the Representatives a Lock-up Agreement.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(jj) </w:t>
      </w:r>
      <w:r>
        <w:rPr>
          <w:rFonts w:ascii="Times New Roman;Times;Serif" w:hAnsi="Times New Roman;Times;Serif"/>
          <w:b/>
          <w:i/>
          <w:caps w:val="false"/>
          <w:smallCaps w:val="false"/>
          <w:sz w:val="20"/>
        </w:rPr>
        <w:t>Statistical and Market-Related Data</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statistical, demographic and market-related data included in the Registration Statement, the Time of Sale Prospectus or the Prospectus are based on or derived from sources that the Company believes, after reasonable inquiry, to be reliable and accurate. To the extent required, the Company has obtained the written consent to the use of such data from such 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(kk) </w:t>
      </w:r>
      <w:r>
        <w:rPr>
          <w:rFonts w:ascii="Times New Roman;Times;Serif" w:hAnsi="Times New Roman;Times;Serif"/>
          <w:b/>
          <w:i/>
          <w:caps w:val="false"/>
          <w:smallCaps w:val="false"/>
          <w:sz w:val="20"/>
        </w:rPr>
        <w:t>Sarbanes-Oxley Act.</w:t>
      </w:r>
      <w:r>
        <w:rPr>
          <w:rFonts w:ascii="Times New Roman;Times;Serif" w:hAnsi="Times New Roman;Times;Serif"/>
          <w:b w:val="false"/>
          <w:i w:val="false"/>
          <w:caps w:val="false"/>
          <w:smallCaps w:val="false"/>
          <w:sz w:val="20"/>
        </w:rPr>
        <w:t xml:space="preserve"> There is, and has been, no failure on the part of the Company or any of the Company’s directors or officers, in their capacities as such, to comply with any applicable provisions of the Sarbanes-Oxley Act of 2002, as amended, and the rules and regulations promulgated in connection therewith, including Section 402 related to loans and Sections 302 and 906 related to certifications.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(ll) </w:t>
      </w:r>
      <w:r>
        <w:rPr>
          <w:rFonts w:ascii="Times New Roman;Times;Serif" w:hAnsi="Times New Roman;Times;Serif"/>
          <w:b/>
          <w:i/>
          <w:caps w:val="false"/>
          <w:smallCaps w:val="false"/>
          <w:sz w:val="20"/>
        </w:rPr>
        <w:t>No Unlawful Contributions or Other Payments</w:t>
      </w:r>
      <w:r>
        <w:rPr>
          <w:rFonts w:ascii="Times New Roman;Times;Serif" w:hAnsi="Times New Roman;Times;Serif"/>
          <w:b w:val="false"/>
          <w:i w:val="false"/>
          <w:caps w:val="false"/>
          <w:smallCaps w:val="false"/>
          <w:sz w:val="20"/>
        </w:rPr>
        <w:t>. Neither the Company nor, to the Company’s knowledge, any employee or agent of the Company has made any contribution or other payment to any official of, or candidate for, any federal, state or foreign office in violation of any law or of the character required to be disclosed in the Registration Statement, the Time of Sale Prospectus or the Prospectus.</w:t>
      </w:r>
    </w:p>
    <w:p>
      <w:pPr>
        <w:pStyle w:val="TextBody"/>
        <w:bidi w:val="0"/>
        <w:spacing w:before="0" w:after="0"/>
        <w:ind w:left="0" w:right="0" w:firstLine="71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(mm) </w:t>
      </w:r>
      <w:r>
        <w:rPr>
          <w:rFonts w:ascii="Times New Roman;Times;Serif" w:hAnsi="Times New Roman;Times;Serif"/>
          <w:b/>
          <w:i/>
          <w:caps w:val="false"/>
          <w:smallCaps w:val="false"/>
          <w:sz w:val="20"/>
        </w:rPr>
        <w:t>Anti-Corruption and Anti-Bribery Laws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Neither the Company nor any director, officer, or employee of the Company, nor to the knowledge of the Company, any agent, affiliate or other person acting on behalf of the Company has, in the course of its actions for, or on behalf of, the Company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the UK Bribery Act 2010, or any other applicable anti-bribery or anti-corruption law; or (iv) made, offered, authorized, requested, or taken an act in furtherance of any unlawful bribe, rebate, payoff, influence payment, kickback or other unlawful payment or benefit. The Company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(nn) </w:t>
      </w:r>
      <w:r>
        <w:rPr>
          <w:rFonts w:ascii="Times New Roman;Times;Serif" w:hAnsi="Times New Roman;Times;Serif"/>
          <w:b/>
          <w:i/>
          <w:caps w:val="false"/>
          <w:smallCaps w:val="false"/>
          <w:sz w:val="20"/>
        </w:rPr>
        <w:t>Money Laundering Laws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operations of the Company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with respect to the Money Laundering Laws is pending or, to the knowledge of the Company, threatened.</w:t>
      </w:r>
    </w:p>
    <w:p>
      <w:pPr>
        <w:pStyle w:val="TextBody"/>
        <w:bidi w:val="0"/>
        <w:spacing w:before="0" w:after="0"/>
        <w:ind w:left="0" w:right="0" w:firstLine="719"/>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(oo) </w:t>
      </w:r>
      <w:r>
        <w:rPr>
          <w:rFonts w:ascii="Times New Roman;Times;Serif" w:hAnsi="Times New Roman;Times;Serif"/>
          <w:b/>
          <w:i/>
          <w:caps w:val="false"/>
          <w:smallCaps w:val="false"/>
          <w:sz w:val="20"/>
        </w:rPr>
        <w:t>Sanctions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Neither the Company nor any of its directors, officers, or employees, nor, to the knowledge of the Company, any agent, affiliate or other person acting on behalf of the Company is currently the subject or the target of any U.S. sanctions administered by the Office of Foreign Assets Control of the U.S. Department of the Treasury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or the U.S. Department of State, the United Nations Security Council, the European Union, His Majesty’s Treasury of the United Kingdom,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nor is the Company located, organized or resident in a country or territory that is the subject or the target of Sanctions, including, without limitation, Crimea, Cuba, Iran, North Korea, and Syria (before July 1, 2025); the so-called Luhansk People’s Republic, the so-called Donetsk People’s Republic and the non-government controlled areas of Zaporizhzhia and Kherson regions of Ukraine (each, a “</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and the Company will not directly or indirectly use the proceeds of this offering, or lend, contribute or otherwise make available such proceeds to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Since April 24, 2019, the Company has not knowingly engaged in and is not now knowingly engaged in any dealings or transactions with any person that at the time of the dealing or transaction is or was the subject or the target of Sanctions or with any Sanctioned Country.</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(pp) </w:t>
      </w:r>
      <w:r>
        <w:rPr>
          <w:rFonts w:ascii="Times New Roman;Times;Serif" w:hAnsi="Times New Roman;Times;Serif"/>
          <w:b/>
          <w:i/>
          <w:caps w:val="false"/>
          <w:smallCaps w:val="false"/>
          <w:sz w:val="20"/>
        </w:rPr>
        <w:t>Brokers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pursuant to this Agreement, there is no broker, finder or other party that is entitled to receive from the Company any brokerage or finder’s fee or other fee or commission as a result of any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(qq) </w:t>
      </w:r>
      <w:r>
        <w:rPr>
          <w:rFonts w:ascii="Times New Roman;Times;Serif" w:hAnsi="Times New Roman;Times;Serif"/>
          <w:b/>
          <w:i/>
          <w:caps w:val="false"/>
          <w:smallCaps w:val="false"/>
          <w:sz w:val="20"/>
        </w:rPr>
        <w:t>Forward-Looking Statements.</w:t>
      </w:r>
      <w:r>
        <w:rPr>
          <w:rFonts w:ascii="Times New Roman;Times;Serif" w:hAnsi="Times New Roman;Times;Serif"/>
          <w:b w:val="false"/>
          <w:i w:val="false"/>
          <w:caps w:val="false"/>
          <w:smallCaps w:val="false"/>
          <w:sz w:val="20"/>
        </w:rPr>
        <w:t xml:space="preserve"> Each financial or operational projection or other “forward-looking statement” (as defined by Section 27A of 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(rr) </w:t>
      </w:r>
      <w:r>
        <w:rPr>
          <w:rFonts w:ascii="Times New Roman;Times;Serif" w:hAnsi="Times New Roman;Times;Serif"/>
          <w:b/>
          <w:i/>
          <w:caps w:val="false"/>
          <w:smallCaps w:val="false"/>
          <w:sz w:val="20"/>
        </w:rPr>
        <w:t>No Outstanding Loans or Other Extensions of Credit</w:t>
      </w:r>
      <w:r>
        <w:rPr>
          <w:rFonts w:ascii="Times New Roman;Times;Serif" w:hAnsi="Times New Roman;Times;Serif"/>
          <w:b w:val="false"/>
          <w:i w:val="false"/>
          <w:caps w:val="false"/>
          <w:smallCaps w:val="false"/>
          <w:sz w:val="20"/>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pStyle w:val="TextBody"/>
        <w:bidi w:val="0"/>
        <w:spacing w:before="0" w:after="0"/>
        <w:ind w:left="0" w:right="0" w:firstLine="721"/>
        <w:jc w:val="both"/>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(ss) </w:t>
      </w:r>
      <w:r>
        <w:rPr>
          <w:rFonts w:ascii="Times New Roman;Times;Serif" w:hAnsi="Times New Roman;Times;Serif"/>
          <w:b/>
          <w:i/>
          <w:caps w:val="false"/>
          <w:smallCaps w:val="false"/>
          <w:sz w:val="20"/>
        </w:rPr>
        <w:t>Cybersecurity</w:t>
      </w:r>
      <w:r>
        <w:rPr>
          <w:rFonts w:ascii="Times New Roman;Times;Serif" w:hAnsi="Times New Roman;Times;Serif"/>
          <w:b w:val="false"/>
          <w:i w:val="false"/>
          <w:caps w:val="false"/>
          <w:smallCaps w:val="false"/>
          <w:sz w:val="20"/>
        </w:rPr>
        <w:t>. The Company’s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as currently conducted, free and clear of all material bugs, errors, defects, Trojan horses, time bombs, malware and other corruptants. The Company has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to the knowledge of the Company, any incidents under internal review or investigations relating to the same.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TextBody"/>
        <w:bidi w:val="0"/>
        <w:spacing w:before="0" w:after="0"/>
        <w:ind w:left="0" w:right="0" w:firstLine="721"/>
        <w:jc w:val="both"/>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(tt) </w:t>
      </w:r>
      <w:r>
        <w:rPr>
          <w:rFonts w:ascii="Times New Roman;Times;Serif" w:hAnsi="Times New Roman;Times;Serif"/>
          <w:b/>
          <w:i/>
          <w:caps w:val="false"/>
          <w:smallCaps w:val="false"/>
          <w:sz w:val="20"/>
        </w:rPr>
        <w:t>Compliance with Data Privacy Laws</w:t>
      </w:r>
      <w:r>
        <w:rPr>
          <w:rFonts w:ascii="Times New Roman;Times;Serif" w:hAnsi="Times New Roman;Times;Serif"/>
          <w:b w:val="false"/>
          <w:i w:val="false"/>
          <w:caps w:val="false"/>
          <w:smallCaps w:val="false"/>
          <w:sz w:val="20"/>
        </w:rPr>
        <w:t>. The Company is, and at all prior times was, in compliance, in all material respects, with all applicable state and federal data privacy and security laws and regulations, including without limitation HIPAA, and the Company has taken commercially reasonable actions to prepare to comply with, and since May 25, 2018, has been and currently is in compliance with, the European Union General Data Protection Regulation (“</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(EU 2016/679) (collectively, the “</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To ensure compliance with the Privacy Laws, the Company has in place, complies with, and takes appropriate steps reasonably designed to ensure compliance in all material respects with its policies and procedures relating to data privacy and security and the collection, storage, use, disclosure, handling, and analysis of Personal Data (the “</w:t>
      </w:r>
      <w:r>
        <w:rPr>
          <w:rFonts w:ascii="Times New Roman;Times;Serif" w:hAnsi="Times New Roman;Times;Serif"/>
          <w:b/>
          <w:i w:val="false"/>
          <w:caps w:val="false"/>
          <w:smallCaps w:val="false"/>
          <w:sz w:val="20"/>
        </w:rPr>
        <w:t>Policies</w:t>
      </w:r>
      <w:r>
        <w:rPr>
          <w:rFonts w:ascii="Times New Roman;Times;Serif" w:hAnsi="Times New Roman;Times;Serif"/>
          <w:b w:val="false"/>
          <w:i w:val="false"/>
          <w:caps w:val="false"/>
          <w:smallCaps w:val="false"/>
          <w:sz w:val="20"/>
        </w:rPr>
        <w:t>”). The Company has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it: (i) has not received notice of any actual or potential liability under or relating to, or actual or potential violation of, any of the Privacy Laws, and has no knowledge of any event or condition that would reasonably be expected to result in any such notice; (ii) is not currently conducting or paying for, in whole or in part, any investigation, remediation, or other corrective action pursuant to any Privacy Law; or (iii) is not a party to any order, decree, or agreement that imposes any obligation or liability under any Privacy Law.</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(uu) </w:t>
      </w:r>
      <w:r>
        <w:rPr>
          <w:rFonts w:ascii="Times New Roman;Times;Serif" w:hAnsi="Times New Roman;Times;Serif"/>
          <w:b/>
          <w:i/>
          <w:caps w:val="false"/>
          <w:smallCaps w:val="false"/>
          <w:sz w:val="20"/>
        </w:rPr>
        <w:t xml:space="preserve">Clinical Data and Regulatory Compliance. </w:t>
      </w:r>
      <w:r>
        <w:rPr>
          <w:rFonts w:ascii="Times New Roman;Times;Serif" w:hAnsi="Times New Roman;Times;Serif"/>
          <w:b w:val="false"/>
          <w:i w:val="false"/>
          <w:caps w:val="false"/>
          <w:smallCaps w:val="false"/>
          <w:sz w:val="20"/>
        </w:rPr>
        <w:t>The preclinical tests and clinical trials, and other studies (collectively, “</w:t>
      </w:r>
      <w:r>
        <w:rPr>
          <w:rFonts w:ascii="Times New Roman;Times;Serif" w:hAnsi="Times New Roman;Times;Serif"/>
          <w:b/>
          <w:i w:val="false"/>
          <w:caps w:val="false"/>
          <w:smallCaps w:val="false"/>
          <w:sz w:val="20"/>
        </w:rPr>
        <w:t>studies</w:t>
      </w:r>
      <w:r>
        <w:rPr>
          <w:rFonts w:ascii="Times New Roman;Times;Serif" w:hAnsi="Times New Roman;Times;Serif"/>
          <w:b w:val="false"/>
          <w:i w:val="false"/>
          <w:caps w:val="false"/>
          <w:smallCaps w:val="false"/>
          <w:sz w:val="20"/>
        </w:rPr>
        <w:t>”) that are described in, or the results of which are referred to in, the Registration Statement, the Time of Sale Prospectus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has no knowledge of any other studies the results of which are materially inconsistent with, or otherwise call into question, the results described or referred to in the Registration Statement, the Time of Sale Prospectus or the Prospectus; the Company has no knowledge of any research misconduct or data fraud in any studies or clinical trials, the results of which the Company intends to include or reference in any regulatory submission for any product; the Company has made all such filings and obtained all such approvals as may be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Times New Roman;Times;Serif" w:hAnsi="Times New Roman;Times;Serif"/>
          <w:b/>
          <w:i w:val="false"/>
          <w:caps w:val="false"/>
          <w:smallCaps w:val="false"/>
          <w:sz w:val="20"/>
        </w:rPr>
        <w:t>Regulatory Agencies</w:t>
      </w:r>
      <w:r>
        <w:rPr>
          <w:rFonts w:ascii="Times New Roman;Times;Serif" w:hAnsi="Times New Roman;Times;Serif"/>
          <w:b w:val="false"/>
          <w:i w:val="false"/>
          <w:caps w:val="false"/>
          <w:smallCaps w:val="false"/>
          <w:sz w:val="20"/>
        </w:rPr>
        <w:t>”); the Company has not received any notice of, or correspondence from, any Regulatory Agency requiring the termination, suspension or modification of any clinical trials that are described or referred to in the Registration Statement, the Time of Sale Prospectus or the Prospectus; and the Company has operated and currently is in compliance in all material respects with all applicable rules, regulations and policies of the Regulatory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(vv) </w:t>
      </w:r>
      <w:r>
        <w:rPr>
          <w:rFonts w:ascii="Times New Roman;Times;Serif" w:hAnsi="Times New Roman;Times;Serif"/>
          <w:b/>
          <w:i/>
          <w:caps w:val="false"/>
          <w:smallCaps w:val="false"/>
          <w:sz w:val="20"/>
        </w:rPr>
        <w:t>Compliance with Health Care Laws</w:t>
      </w:r>
      <w:r>
        <w:rPr>
          <w:rFonts w:ascii="Times New Roman;Times;Serif" w:hAnsi="Times New Roman;Times;Serif"/>
          <w:b w:val="false"/>
          <w:i w:val="false"/>
          <w:caps w:val="false"/>
          <w:smallCaps w:val="false"/>
          <w:sz w:val="20"/>
        </w:rPr>
        <w:t>. The Company is, and at all times has been, in material compliance with all Health Care Laws. For purposes of this Agreement, “</w:t>
      </w:r>
      <w:r>
        <w:rPr>
          <w:rFonts w:ascii="Times New Roman;Times;Serif" w:hAnsi="Times New Roman;Times;Serif"/>
          <w:b/>
          <w:i w:val="false"/>
          <w:caps w:val="false"/>
          <w:smallCaps w:val="false"/>
          <w:sz w:val="20"/>
        </w:rPr>
        <w:t>Health Care Laws</w:t>
      </w:r>
      <w:r>
        <w:rPr>
          <w:rFonts w:ascii="Times New Roman;Times;Serif" w:hAnsi="Times New Roman;Times;Serif"/>
          <w:b w:val="false"/>
          <w:i w:val="false"/>
          <w:caps w:val="false"/>
          <w:smallCaps w:val="false"/>
          <w:sz w:val="20"/>
        </w:rPr>
        <w:t>”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the Clinical Laboratories Improvement Act of 1967, as amended; (vi) licensure, quality, safety and accreditation requirements under applicable federal, state, local or foreign laws or regulatory bodies; and (vii) all other local, state, federal, national, supranational and foreign laws, relating to the regulation of the Company, and (viii) the directives and regulations promulgated pursuant to such statutes and any state or non-U.S. counterpart thereof. The Company has not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has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The Company is not a party to any corporate integrity agreements, monitoring agreements, consent decrees, settlement orders, or similar agreements with or imposed by any governmental or regulatory authority. Additionally, neither the Company nor any of its respective employees, officers, directors, or to the Company’s knowledge, 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(ww) </w:t>
      </w:r>
      <w:r>
        <w:rPr>
          <w:rFonts w:ascii="Times New Roman;Times;Serif" w:hAnsi="Times New Roman;Times;Serif"/>
          <w:b/>
          <w:i/>
          <w:caps w:val="false"/>
          <w:smallCaps w:val="false"/>
          <w:sz w:val="20"/>
        </w:rPr>
        <w:t xml:space="preserve">No Contract Terminations. </w:t>
      </w:r>
      <w:r>
        <w:rPr>
          <w:rFonts w:ascii="Times New Roman;Times;Serif" w:hAnsi="Times New Roman;Times;Serif"/>
          <w:b w:val="false"/>
          <w:i w:val="false"/>
          <w:caps w:val="false"/>
          <w:smallCaps w:val="false"/>
          <w:sz w:val="20"/>
        </w:rPr>
        <w:t>The Company has not sent or received any communication regarding termination of, or intent not to renew, any of the contracts or agreements referred to or described in any preliminary prospectus, the Prospectus or any free writing prospectus, or referred to or described in, or filed as an exhibit to, the Registration Statement, and no such termination or non-renewal has been threatened by the Company or, to the Company’s knowledge, any other party to any such contract or agreement, which threat of termination or non-renewal has not been rescinded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 </w:t>
      </w:r>
      <w:r>
        <w:rPr>
          <w:rFonts w:ascii="Times New Roman;Times;Serif" w:hAnsi="Times New Roman;Times;Serif"/>
          <w:b/>
          <w:i/>
          <w:caps w:val="false"/>
          <w:smallCaps w:val="false"/>
          <w:sz w:val="20"/>
        </w:rPr>
        <w:t>Outbound Investment Security Program</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is not a “covered foreign person”, as that term is defined in 31 C.F.R. § 850.209. The Company does not currently engage, or have plans to engage, directly or indirectly, in a “covered activity”, as that term is defined in 31 C.F.R. § 850.208.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(yy) </w:t>
      </w:r>
      <w:r>
        <w:rPr>
          <w:rFonts w:ascii="Times New Roman;Times;Serif" w:hAnsi="Times New Roman;Times;Serif"/>
          <w:b/>
          <w:i/>
          <w:caps w:val="false"/>
          <w:smallCaps w:val="false"/>
          <w:sz w:val="20"/>
        </w:rPr>
        <w:t>Margin Rules</w:t>
      </w:r>
      <w:r>
        <w:rPr>
          <w:rFonts w:ascii="Times New Roman;Times;Serif" w:hAnsi="Times New Roman;Times;Serif"/>
          <w:b w:val="false"/>
          <w:i w:val="false"/>
          <w:caps w:val="false"/>
          <w:smallCaps w:val="false"/>
          <w:sz w:val="20"/>
        </w:rPr>
        <w:t>. None of the issuance, sale and delivery of the Offered Securities or the Maximum Number of Underlying Securities nor the application of the proceeds thereof by the Company as described in each of the Registration Statement, the Time of Sale Prospectus and the Prospectus will violate Regulation T, U or X of the Board of Governors of the Federal Reserve System or any other regulation of such Board of Governors.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(zz) </w:t>
      </w:r>
      <w:r>
        <w:rPr>
          <w:rFonts w:ascii="Times New Roman;Times;Serif" w:hAnsi="Times New Roman;Times;Serif"/>
          <w:b/>
          <w:i/>
          <w:caps w:val="false"/>
          <w:smallCaps w:val="false"/>
          <w:sz w:val="20"/>
        </w:rPr>
        <w:t>No Ratings</w:t>
      </w:r>
      <w:r>
        <w:rPr>
          <w:rFonts w:ascii="Times New Roman;Times;Serif" w:hAnsi="Times New Roman;Times;Serif"/>
          <w:b w:val="false"/>
          <w:i w:val="false"/>
          <w:caps w:val="false"/>
          <w:smallCaps w:val="false"/>
          <w:sz w:val="20"/>
        </w:rPr>
        <w:t>. There are no debt securities or preferred stock of or guaranteed by the Company that are rated by a “nationally recognized statistical rating organization,” as such term is defined under Section 3(a)(62)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of the Company and delivered to any Underwriter or to counsel for the Underwriters in connection with the offering, or the purchase and sale, of the Offered Securities shall be deemed a representation and warranty by the Company to each Underwriter as to the matters covered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Purchase, Sale and Delivery of the Offered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caps w:val="false"/>
          <w:smallCaps w:val="false"/>
          <w:sz w:val="20"/>
        </w:rPr>
        <w:t>The Firm Securities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Upon the terms herein set forth, the Company agrees to issue and sell to the several Underwriters $500,000,000 aggregate principal amount of Firm Securities. On the basis of the representations, warranties and agreements herein contained, and upon the terms but subject to the conditions herein set forth, the Underwriters agree, severally and not jointly, to purchase from the Company the respective principal amount of Firm Securities set forth opposite their names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 a price equal to 97.0% of the principal amount thereof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plus accrued interest, if any, from June 8, 2026 to the First Closing Date.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caps w:val="false"/>
          <w:smallCaps w:val="false"/>
          <w:sz w:val="20"/>
        </w:rPr>
        <w:t>The First Closing Date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Delivery of the Firm Securities to be purchased by the Underwriters and payment therefor shall be made at the offices of Cooley LLP (or such other place as may be agreed to by the Company and the Representatives) at 10:00 a.m. New York City time, on June 8, 2026 or such other time and date not later than 1:30 p.m. New York City time, on June 22, 2026 as the Representatives shall designate by notice to the Company (the time and date of such closing are called the “</w:t>
      </w:r>
      <w:r>
        <w:rPr>
          <w:rFonts w:ascii="Times New Roman;Times;Serif" w:hAnsi="Times New Roman;Times;Serif"/>
          <w:b/>
          <w:i w:val="false"/>
          <w:caps w:val="false"/>
          <w:smallCaps w:val="false"/>
          <w:sz w:val="20"/>
        </w:rPr>
        <w:t>First Closing Date</w:t>
      </w:r>
      <w:r>
        <w:rPr>
          <w:rFonts w:ascii="Times New Roman;Times;Serif" w:hAnsi="Times New Roman;Times;Serif"/>
          <w:b w:val="false"/>
          <w:i w:val="false"/>
          <w:caps w:val="false"/>
          <w:smallCaps w:val="false"/>
          <w:sz w:val="20"/>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pStyle w:val="TextBody"/>
        <w:bidi w:val="0"/>
        <w:spacing w:before="0" w:after="0"/>
        <w:ind w:left="0" w:right="0" w:firstLine="721"/>
        <w:jc w:val="both"/>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caps w:val="false"/>
          <w:smallCaps w:val="false"/>
          <w:sz w:val="20"/>
        </w:rPr>
        <w:t>The Optional Securities; Option Closing Date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In addition, on the basis of the representations, warranties and agreements herein contained, and upon the terms but subject to the conditions herein set forth, the Company hereby grants an option to the several Underwriters to purchase, severally and not jointly, up to an additional $75,000,000 principal amount of Optional Securities from the Company at the Purchase Price plus accrued interest, if any, from June 8, 2026 to the Option Closing Date, or if such time and date of delivery of the Optional Securities occurs on the First Closing Date, then the First Closing Date. The option granted hereunder may be exercised at any time and from time to time in whole or in part upon notice by the Representatives to the Company, which notice may be given at any time within 30 days from the date of this Agreement, solely to cover over-allotments. Such notice shall set forth (i) the principal amount of Optional Securities plus accrued interest as to which the Underwriters are exercising the option and (ii) the time, date and place at which the Optional Securities will be delivered (which time and date may be simultaneous with, but not earlier than, the First Closing Date; and in the event that such time and date are simultaneous with the First Closing Date, the term “</w:t>
      </w:r>
      <w:r>
        <w:rPr>
          <w:rFonts w:ascii="Times New Roman;Times;Serif" w:hAnsi="Times New Roman;Times;Serif"/>
          <w:b/>
          <w:i w:val="false"/>
          <w:caps w:val="false"/>
          <w:smallCaps w:val="false"/>
          <w:sz w:val="20"/>
        </w:rPr>
        <w:t>First Closing Date</w:t>
      </w:r>
      <w:r>
        <w:rPr>
          <w:rFonts w:ascii="Times New Roman;Times;Serif" w:hAnsi="Times New Roman;Times;Serif"/>
          <w:b w:val="false"/>
          <w:i w:val="false"/>
          <w:caps w:val="false"/>
          <w:smallCaps w:val="false"/>
          <w:sz w:val="20"/>
        </w:rPr>
        <w:t>” shall refer to the time and date of delivery of the Firm Securities and such Optional Securities). Any such time and date of delivery, if subsequent to the First Closing Date, is called an “</w:t>
      </w:r>
      <w:r>
        <w:rPr>
          <w:rFonts w:ascii="Times New Roman;Times;Serif" w:hAnsi="Times New Roman;Times;Serif"/>
          <w:b/>
          <w:i w:val="false"/>
          <w:caps w:val="false"/>
          <w:smallCaps w:val="false"/>
          <w:sz w:val="20"/>
        </w:rPr>
        <w:t>Option Closing Date</w:t>
      </w:r>
      <w:r>
        <w:rPr>
          <w:rFonts w:ascii="Times New Roman;Times;Serif" w:hAnsi="Times New Roman;Times;Serif"/>
          <w:b w:val="false"/>
          <w:i w:val="false"/>
          <w:caps w:val="false"/>
          <w:smallCaps w:val="false"/>
          <w:sz w:val="20"/>
        </w:rPr>
        <w:t xml:space="preserve">,” and shall be determined by the Representatives and shall not be earlier than two or later than five full business days after delivery of such notice of exercise. If any Optional Securities are to be purchased, each Underwriter agrees, severally and not jointly, to purchase the principal amount of Optional Securities (subject to such adjustments to eliminate Securities in denominations other than $1,000 as the Representatives in their sole discretion shall make) that bears the same proportion to the principal amount of Firm Securities (a) to be purchased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opposite the name of such Underwriter bears to the total principal amount of Firm Securities and (b) the Company agrees to sell the number of Optional Securities set forth in the paragraph “Introductory” of this Agreement (subject to such adjustments to eliminate Securities in denominations other than $1,000 as the Representatives in their sole discretion shall make). The Representatives may cancel the option at any time prior to its expiration by giving written notice of such cancellation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caps w:val="false"/>
          <w:smallCaps w:val="false"/>
          <w:sz w:val="20"/>
        </w:rPr>
        <w:t>Public Offering of the Offered Securities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Representatives hereby advise the Company that the Underwriters intend to offer for sale to the public, initially on the terms set forth in the Registration Statement, the Time of Sale Prospectus and the Prospectus, their respective portions of the Offered Securities as soon as the Representatives, in their sole judgment, have determined is advisable and practicable.</w:t>
      </w:r>
    </w:p>
    <w:p>
      <w:pPr>
        <w:pStyle w:val="TextBody"/>
        <w:bidi w:val="0"/>
        <w:spacing w:before="0" w:after="0"/>
        <w:ind w:left="0" w:right="0" w:firstLine="719"/>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i/>
          <w:caps w:val="false"/>
          <w:smallCaps w:val="false"/>
          <w:sz w:val="20"/>
        </w:rPr>
        <w:t>Payment for the Offered Securities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Payment for the Offered Securities to be sold by the Company shall be made at the First Closing Date (and, if applicable, at each Option Closing Date) by wire transfer of immediately available funds to the order of the Company. It is understood that the Representatives have been authorized, for their own accounts and the accounts of the several Underwriters, to accept delivery of and receipt for, and make payment of the purchase price for, the Firm Securities and any Optional Securities the Underwriters have agreed to purchase. Jefferies, J.P. Morgan, TD Cowen and Guggenheim Securities individually and not as the Representatives of the Underwriters, may (but shall not be obligated to) make payment for any Offered Securities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i/>
          <w:caps w:val="false"/>
          <w:smallCaps w:val="false"/>
          <w:sz w:val="20"/>
        </w:rPr>
        <w:t>Delivery of the Offered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deliver, or cause to be delivered to the nominee of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for the Representatives for the accounts of the several Underwriters one or more global notes representing the Offered Securities (collectively, the “</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at the First Closing Date and any Option Closing Date, as applicable, against release of a wire transfer of immediately available funds for the amount of the purchase price therefor. Time shall be of the essence, and delivery at the time and place specified in this Agreement is a further condition to the obligations of the Underwriters. The Global Note will be made available for inspection by the Representatives at the office of Jefferies LLC set forth above not later than 1:00 p.m. New York City time, on the business day prior to the First Closing Date or any Option Closing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Additional Covenants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caps w:val="false"/>
          <w:smallCaps w:val="false"/>
          <w:sz w:val="20"/>
        </w:rPr>
        <w:t xml:space="preserve">Delivery of Registration Statement, Time of Sale Prospectus and Prospectus. </w:t>
      </w:r>
      <w:r>
        <w:rPr>
          <w:rFonts w:ascii="Times New Roman;Times;Serif" w:hAnsi="Times New Roman;Times;Serif"/>
          <w:b w:val="false"/>
          <w:i w:val="false"/>
          <w:caps w:val="false"/>
          <w:smallCaps w:val="false"/>
          <w:sz w:val="20"/>
        </w:rPr>
        <w:t>The Company shall furnish to you in New York City, without charge, prior to 10:00 a.m. New York City time on the business day next succeeding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as you may reasonably request.</w:t>
      </w:r>
    </w:p>
    <w:p>
      <w:pPr>
        <w:pStyle w:val="TextBody"/>
        <w:bidi w:val="0"/>
        <w:spacing w:before="0" w:after="0"/>
        <w:ind w:left="0" w:right="0" w:firstLine="721"/>
        <w:jc w:val="both"/>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caps w:val="false"/>
          <w:smallCaps w:val="false"/>
          <w:sz w:val="20"/>
        </w:rPr>
        <w:t xml:space="preserve">Representatives’ Review of Proposed Amendments and Supplements. </w:t>
      </w:r>
      <w:r>
        <w:rPr>
          <w:rFonts w:ascii="Times New Roman;Times;Serif" w:hAnsi="Times New Roman;Times;Serif"/>
          <w:b w:val="false"/>
          <w:i w:val="false"/>
          <w:caps w:val="false"/>
          <w:smallCaps w:val="false"/>
          <w:sz w:val="20"/>
        </w:rPr>
        <w:t>During the period when a prospectus relating to the Offered Securities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which consent shall not be unreasonably withheld or delayed.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or delayed. The Company shall file with the Commission within the applicable period specified in Rule 424(b) under the Securities Act any prospectus required to be filed pursuant to such Rule.</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caps w:val="false"/>
          <w:smallCaps w:val="false"/>
          <w:sz w:val="20"/>
        </w:rPr>
        <w:t>Free Writing Prospectuses.</w:t>
      </w:r>
      <w:r>
        <w:rPr>
          <w:rFonts w:ascii="Times New Roman;Times;Serif" w:hAnsi="Times New Roman;Times;Serif"/>
          <w:b w:val="false"/>
          <w:i w:val="false"/>
          <w:caps w:val="false"/>
          <w:smallCaps w:val="false"/>
          <w:sz w:val="20"/>
        </w:rPr>
        <w:t xml:space="preserve"> The Company shall furnish to the Representatives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Securities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 or delayed.</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caps w:val="false"/>
          <w:smallCaps w:val="false"/>
          <w:sz w:val="20"/>
        </w:rPr>
        <w:t>Filing of Underwriter Free Writing Prospectuses.</w:t>
      </w:r>
      <w:r>
        <w:rPr>
          <w:rFonts w:ascii="Times New Roman;Times;Serif" w:hAnsi="Times New Roman;Times;Serif"/>
          <w:b w:val="false"/>
          <w:i w:val="false"/>
          <w:caps w:val="false"/>
          <w:smallCaps w:val="false"/>
          <w:sz w:val="20"/>
        </w:rPr>
        <w:t xml:space="preserve"> 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w:t>
      </w:r>
    </w:p>
    <w:p>
      <w:pPr>
        <w:pStyle w:val="TextBody"/>
        <w:bidi w:val="0"/>
        <w:spacing w:before="0" w:after="0"/>
        <w:ind w:left="0" w:right="0" w:firstLine="721"/>
        <w:jc w:val="both"/>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i/>
          <w:caps w:val="false"/>
          <w:smallCaps w:val="false"/>
          <w:sz w:val="20"/>
        </w:rPr>
        <w:t xml:space="preserve">Amendments and Supplements to Time of Sale Prospectus. </w:t>
      </w:r>
      <w:r>
        <w:rPr>
          <w:rFonts w:ascii="Times New Roman;Times;Serif" w:hAnsi="Times New Roman;Times;Serif"/>
          <w:b w:val="false"/>
          <w:i w:val="false"/>
          <w:caps w:val="false"/>
          <w:smallCaps w:val="false"/>
          <w:sz w:val="20"/>
        </w:rPr>
        <w:t>If the Time of Sale Prospectus is being used to solicit offers to buy the Offered 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i/>
          <w:caps w:val="false"/>
          <w:smallCaps w:val="false"/>
          <w:sz w:val="20"/>
        </w:rPr>
        <w:t>Certain Notifications and Required Actions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After the date of this Agreement, the Company shall promptly advise the Representatives in 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of the Underlying Securities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 If, after the date of this Agreement and during any time when a prospectus relating to this offering is required by the Securities Act to be delivered (whether physically or through compliance with Rule 172 under the Securities Act or any similar rule), the Company receives notice pursuant to Rule 401(g)(2) under the Securities Act from the Commission or otherwise ceases to be eligible to use the automatic shelf registration form, the Company shall promptly advise the Representatives in writing of such notice or ineligibility and will (i) promptly filed a new registration statement or post-effective amendment on the proper form relating to the Offered Securities, (ii) use its best efforts to cause such registration statement or post-effective amendment to be declared effective by the Commission as soon as practicable and (iii) promptly notify the Representatives in writing of such effectiveness.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i/>
          <w:caps w:val="false"/>
          <w:smallCaps w:val="false"/>
          <w:sz w:val="20"/>
        </w:rPr>
        <w:t xml:space="preserve">Amendments and Supplements to the Prospectus and Other Securities Act Matters. </w:t>
      </w:r>
      <w:r>
        <w:rPr>
          <w:rFonts w:ascii="Times New Roman;Times;Serif" w:hAnsi="Times New Roman;Times;Serif"/>
          <w:b w:val="false"/>
          <w:i w:val="false"/>
          <w:caps w:val="false"/>
          <w:smallCaps w:val="false"/>
          <w:sz w:val="20"/>
        </w:rPr>
        <w:t>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i/>
          <w:caps w:val="false"/>
          <w:smallCaps w:val="false"/>
          <w:sz w:val="20"/>
        </w:rPr>
        <w:t>Blue Sky Compliance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shall cooperate with the Representatives and counsel for the Underwriters to qualify or register the Offered Securities for sale under (or obtain exemptions from the application of) the state securities or blue sky laws or Canadian provincial securities laws (or other foreign laws) of those jurisdictions designated by the Representatives,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where it is not otherwise subject to taxation. The Company will advise the Representatives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i/>
          <w:caps w:val="false"/>
          <w:smallCaps w:val="false"/>
          <w:sz w:val="20"/>
        </w:rPr>
        <w:t>Use of Proceeds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apply the net proceeds from the sale of the Offered Securities sold by it in the manner described under the caption “Use of Proceeds” in the Registration Statement, the Time of Sale Prospectus,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i/>
          <w:caps w:val="false"/>
          <w:smallCaps w:val="false"/>
          <w:sz w:val="20"/>
        </w:rPr>
        <w:t>Trustee and Transfer Agent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shall engage and maintain, at its expense, a trustee and registrar for the Offered Securities and transfer agent for the shares of Common Stock issuable upon conversion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i/>
          <w:caps w:val="false"/>
          <w:smallCaps w:val="false"/>
          <w:sz w:val="20"/>
        </w:rPr>
        <w:t>Earnings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make generally available to its securityholders and to the Representatives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provided that the Company will be deemed to have made generally available such statement to the extent it is available on EDGAR.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i/>
          <w:caps w:val="false"/>
          <w:smallCaps w:val="false"/>
          <w:sz w:val="20"/>
        </w:rPr>
        <w:t>Continued Compliance with Securities Laws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will comply with the Securities Act and the Exchange Act so as to permit the completion of the distribution of the Offered Securities as contemplated by the Transaction Documents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Registration Statement, the Time of Sale Prospectus, and the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 </w:t>
      </w:r>
      <w:r>
        <w:rPr>
          <w:rFonts w:ascii="Times New Roman;Times;Serif" w:hAnsi="Times New Roman;Times;Serif"/>
          <w:b/>
          <w:i/>
          <w:caps w:val="false"/>
          <w:smallCaps w:val="false"/>
          <w:sz w:val="20"/>
        </w:rPr>
        <w:t xml:space="preserve">The Maximum Number of Underlying Securities. </w:t>
      </w:r>
      <w:r>
        <w:rPr>
          <w:rFonts w:ascii="Times New Roman;Times;Serif" w:hAnsi="Times New Roman;Times;Serif"/>
          <w:b w:val="false"/>
          <w:i w:val="false"/>
          <w:caps w:val="false"/>
          <w:smallCaps w:val="false"/>
          <w:sz w:val="20"/>
        </w:rPr>
        <w:t>The Company will reserve and keep available at all times, free of preemptive rights, a number of shares of Common Stock equal to the Maximum Number of Underlying Securities. The Company will use its reasonable best efforts to effect and maintain the listing of a number of shares of Common Stock issuable upon conversion of the Offered Securities equal to the Maximum Number of Underlying Securities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Company to Provide Copy of the Prospectus in Form That May be Downloaded from the Internet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requested by the Representatives, the Company shall cause to be prepared and delivered, at its expense, within one business day from the effective date of this Agreement, to the Representatives an “</w:t>
      </w:r>
      <w:r>
        <w:rPr>
          <w:rFonts w:ascii="Times New Roman;Times;Serif" w:hAnsi="Times New Roman;Times;Serif"/>
          <w:b/>
          <w:i w:val="false"/>
          <w:caps w:val="false"/>
          <w:smallCaps w:val="false"/>
          <w:sz w:val="20"/>
        </w:rPr>
        <w:t>electronic Prospectus</w:t>
      </w:r>
      <w:r>
        <w:rPr>
          <w:rFonts w:ascii="Times New Roman;Times;Serif" w:hAnsi="Times New Roman;Times;Serif"/>
          <w:b w:val="false"/>
          <w:i w:val="false"/>
          <w:caps w:val="false"/>
          <w:smallCaps w:val="false"/>
          <w:sz w:val="20"/>
        </w:rPr>
        <w:t>” to be used by the Underwriters in connection with the offering and sale of the Offered Securities. As used herein, the term “</w:t>
      </w:r>
      <w:r>
        <w:rPr>
          <w:rFonts w:ascii="Times New Roman;Times;Serif" w:hAnsi="Times New Roman;Times;Serif"/>
          <w:b/>
          <w:i w:val="false"/>
          <w:caps w:val="false"/>
          <w:smallCaps w:val="false"/>
          <w:sz w:val="20"/>
        </w:rPr>
        <w:t>electronic Prospectus</w:t>
      </w:r>
      <w:r>
        <w:rPr>
          <w:rFonts w:ascii="Times New Roman;Times;Serif" w:hAnsi="Times New Roman;Times;Serif"/>
          <w:b w:val="false"/>
          <w:i w:val="false"/>
          <w:caps w:val="false"/>
          <w:smallCaps w:val="false"/>
          <w:sz w:val="20"/>
        </w:rPr>
        <w:t>” 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Securities;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pStyle w:val="TextBody"/>
        <w:bidi w:val="0"/>
        <w:spacing w:before="0" w:after="0"/>
        <w:ind w:left="0" w:right="0" w:firstLine="721"/>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firstLine="721"/>
        <w:jc w:val="left"/>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 </w:t>
      </w:r>
      <w:r>
        <w:rPr>
          <w:rFonts w:ascii="Times New Roman;Times;Serif" w:hAnsi="Times New Roman;Times;Serif"/>
          <w:b/>
          <w:i/>
          <w:caps w:val="false"/>
          <w:smallCaps w:val="false"/>
          <w:sz w:val="20"/>
        </w:rPr>
        <w:t>Agreement Not to Offer or Sell Additional Securities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During the period commencing on and including the date hereof and continuing through and including the 60th day following the date of the Prospectus (such period, as extended as described below, being referred to herein as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xml:space="preserve">”), the Company will not, without the prior written consent of the Representatives (which consent may be withheld in their sole discretion), directly or indirectly: (i) sell, offer to sell, contract to sell or lend any shares of Common Stock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of Common Stock or Related Securities; (iii) pledge, hypothecate or grant any security interest in any shares of Common Stock or Related Securities; (iv) in any other way transfer or dispose of any shares of Common Stock or Related Securities; (v) enter into any swap, hedge or similar arrangement or agreement that transfers, in whole or in part, the economic risk of ownership of any shares of Common Stock or Related Securities, regardless of whether any such transaction is to be settled in securities, in cash or otherwise; (vi) announce the offering of any shares of Common Stock or Related Securities (other than as contemplated by the Transaction Documents with respect to the Offered Securities); (vii) submit or file any registration statement under the Securities Act in respect of any shares of Common Stock or Related Securities (other than as contemplated by this Agreement with respect to the Offered Securities); (viii) effect a reverse stock split, recapitalization, share consolidation, reclassification or similar transaction affecting the outstanding shares of Common Stock; or (ix) publicly announce the intention to do any of the foregoing;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may (A) effect the transactions contemplated the Transaction Documents, (B) issue and sell shares of Common Stock pursuant to the Open Market Sale Agreement</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xml:space="preserve">, dated February 4, 2022, by and between the Company and Jefferies, following the earlier to occur of (x) the date that is 30 days following the date of the Prospectus and (y) the date that the Underwriters exercise in full their option to purchase the Optional Securities pursuant to Section 2(c), (C) issue shares of Common Stock, options to purchase shares of Common Stock or restricted stock, or issue shares of Common Stock upon the exercise of options or vesting of restricted stock, pursuant to any stock option, stock bonus or other stock plan or any other arrangement described in the Registration Statement, the Time of Sale Prospectus and the Prospectus,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to the extent the recipient of any such securities (i) is not otherwise subject to a Lock-up Agreement and (ii) is an officer (as defined in Rule 16a-1(f) of the Exchange Act) or director of the Company, such recipient shall deliver a Lock-up Agreement to the Representatives, and (D) issue shares of Common Stock pursuant to the conversion of securities or loans or the exercise of warrants or pre-funded warrants, which securities, loans or warrants or pre-funded warrants are outstanding on the date hereof and described in the Registration Statement, the Time of Sale Prospectus and the Prospectus. For purposes of the foregoing, “</w:t>
      </w:r>
      <w:r>
        <w:rPr>
          <w:rFonts w:ascii="Times New Roman;Times;Serif" w:hAnsi="Times New Roman;Times;Serif"/>
          <w:b/>
          <w:i w:val="false"/>
          <w:caps w:val="false"/>
          <w:smallCaps w:val="false"/>
          <w:sz w:val="20"/>
        </w:rPr>
        <w:t>Related Securities</w:t>
      </w:r>
      <w:r>
        <w:rPr>
          <w:rFonts w:ascii="Times New Roman;Times;Serif" w:hAnsi="Times New Roman;Times;Serif"/>
          <w:b w:val="false"/>
          <w:i w:val="false"/>
          <w:caps w:val="false"/>
          <w:smallCaps w:val="false"/>
          <w:sz w:val="20"/>
        </w:rPr>
        <w:t>” shall mean any options or warrants or other rights to acquire shares of Common Stock or any securities exchangeable or exercisable for or convertible into shares of Common Stock, or to acquire other securities or rights ultimately exchangeable or exercisable for, or convertible into, shares of Common Stock.</w:t>
      </w:r>
    </w:p>
    <w:p>
      <w:pPr>
        <w:pStyle w:val="TextBody"/>
        <w:bidi w:val="0"/>
        <w:spacing w:before="0" w:after="0"/>
        <w:ind w:left="0" w:right="0" w:firstLine="72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 </w:t>
      </w:r>
      <w:r>
        <w:rPr>
          <w:rFonts w:ascii="Times New Roman;Times;Serif" w:hAnsi="Times New Roman;Times;Serif"/>
          <w:b/>
          <w:i/>
          <w:caps w:val="false"/>
          <w:smallCaps w:val="false"/>
          <w:sz w:val="20"/>
        </w:rPr>
        <w:t xml:space="preserve">Future Reports to the Representatives. </w:t>
      </w:r>
      <w:r>
        <w:rPr>
          <w:rFonts w:ascii="Times New Roman;Times;Serif" w:hAnsi="Times New Roman;Times;Serif"/>
          <w:b w:val="false"/>
          <w:i w:val="false"/>
          <w:caps w:val="false"/>
          <w:smallCaps w:val="false"/>
          <w:sz w:val="20"/>
        </w:rPr>
        <w:t xml:space="preserve">During the period of five years hereafter, the Company will furnish to the Representatives, c/o Jefferies LLC, at 520 Madison Avenue, New York, New York 10022, Attention: Global Head of Syndicate; J.P. Morgan Securities LLC, at 270 Park Avenue, New York, New York 10017 (fax: (212) 622-8358), Attention: Equity Syndicate Desk; TD Securities (USA) LLC, at 1 Vanderbilt Avenue, New York, New York 10017, Attention: Head of Equity Capital Markets, with a copy to CIBLegal@tdsecurities.com; Guggenheim Securities, LLC, 330 Madison Avenue, New York, New York 10017, Fax: (212) 658-9689, Attention: Head of Equity Capital Markets,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requirements of this Section 3(p) shall be satisfied to the extent that such reports, statement, communications, financial statements or other documents are available on EDGAR.</w:t>
      </w:r>
    </w:p>
    <w:p>
      <w:pPr>
        <w:pStyle w:val="TextBody"/>
        <w:bidi w:val="0"/>
        <w:spacing w:before="0" w:after="0"/>
        <w:ind w:left="0" w:right="0" w:firstLine="721"/>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721"/>
        <w:jc w:val="left"/>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 </w:t>
      </w:r>
      <w:r>
        <w:rPr>
          <w:rFonts w:ascii="Times New Roman;Times;Serif" w:hAnsi="Times New Roman;Times;Serif"/>
          <w:b/>
          <w:i/>
          <w:caps w:val="false"/>
          <w:smallCaps w:val="false"/>
          <w:sz w:val="20"/>
        </w:rPr>
        <w:t>Investment Limitation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shall not invest or otherwise use the proceeds received by the Company from its sale of the Offered Securities in such a manner as would require the Company to register as an investment company under the Investment Company Act. During the period of one year after the First Closing Date or any Option Closing Date, if later, the Company will not be, nor will it become, an open-end investment company, unit investment trust or face-amount certificate company that is or is required to be registered under Section 8 of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 </w:t>
      </w:r>
      <w:r>
        <w:rPr>
          <w:rFonts w:ascii="Times New Roman;Times;Serif" w:hAnsi="Times New Roman;Times;Serif"/>
          <w:b/>
          <w:i/>
          <w:caps w:val="false"/>
          <w:smallCaps w:val="false"/>
          <w:sz w:val="20"/>
        </w:rPr>
        <w:t>No Stabilization or Manipulation; Compliance with Regulation M</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will not take, and will ensure that no affiliate of the Company will take, directly or indirectly, any action designed to or that might cause or result in stabilization or manipulation of the price of the Offered Securities or any reference security with respect to the Offered Securities, whether to facilitate the sale or resale of the Offered Securities or otherwise, and the Company will, and shall cause each of its affiliates to, comply with all applicable provisions of Regulation 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 </w:t>
      </w:r>
      <w:r>
        <w:rPr>
          <w:rFonts w:ascii="Times New Roman;Times;Serif" w:hAnsi="Times New Roman;Times;Serif"/>
          <w:b/>
          <w:i/>
          <w:caps w:val="false"/>
          <w:smallCaps w:val="false"/>
          <w:sz w:val="20"/>
        </w:rPr>
        <w:t>Enforce Lock-Up Agreements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During the Lock-up Period, the Company will enforce all agreements between the Company and any of its securityholders that restrict or prohibit, expressly or in operation, the offer, sale or transfer of shares of Common Stock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and securityholders pursuant to Section 6(i)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 </w:t>
      </w:r>
      <w:r>
        <w:rPr>
          <w:rFonts w:ascii="Times New Roman;Times;Serif" w:hAnsi="Times New Roman;Times;Serif"/>
          <w:b/>
          <w:i/>
          <w:caps w:val="false"/>
          <w:smallCaps w:val="false"/>
          <w:sz w:val="20"/>
        </w:rPr>
        <w:t>Company to Provide Interim Financial Statements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Prior to the First Closing Date and each applicable Option Closing Date, the Company will furnish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 provided, however, that the requirements of this Section 3(t) shall be deemed satisfied to the extent that such financial statements are available on EDGAR.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 </w:t>
      </w:r>
      <w:r>
        <w:rPr>
          <w:rFonts w:ascii="Times New Roman;Times;Serif" w:hAnsi="Times New Roman;Times;Serif"/>
          <w:b/>
          <w:i/>
          <w:caps w:val="false"/>
          <w:smallCaps w:val="false"/>
          <w:sz w:val="20"/>
        </w:rPr>
        <w:t>Amendments and Supplements to Permitted Section 5(d) Communications.</w:t>
      </w:r>
      <w:r>
        <w:rPr>
          <w:rFonts w:ascii="Times New Roman;Times;Serif" w:hAnsi="Times New Roman;Times;Serif"/>
          <w:b w:val="false"/>
          <w:i w:val="false"/>
          <w:caps w:val="false"/>
          <w:smallCaps w:val="false"/>
          <w:sz w:val="20"/>
        </w:rPr>
        <w:t xml:space="preserve"> If at any time following the distribution of any Permitted Section 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xml:space="preserve"> The Company will assist the Underwriters in arranging for the Offered Securities to be eligible for clearance and settlement through DTC.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 </w:t>
      </w:r>
      <w:r>
        <w:rPr>
          <w:rFonts w:ascii="Times New Roman;Times;Serif" w:hAnsi="Times New Roman;Times;Serif"/>
          <w:b/>
          <w:i/>
          <w:caps w:val="false"/>
          <w:smallCaps w:val="false"/>
          <w:sz w:val="20"/>
        </w:rPr>
        <w:t>Conversion Rate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 event has occurred that would, if the Offered Securities were outstanding, require an adjustment to the Conversion Rate (as defined in the Indenture) for the Offered Securities pursuant to the terms of the Indenture. During the period beginning from the date hereof and continuing until the latest Option Closing Date, the Company will not do or authorize any act or thing that would result in an adjustment of the Conversion Rate (as defined in the Indenture).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 </w:t>
      </w:r>
      <w:r>
        <w:rPr>
          <w:rFonts w:ascii="Times New Roman;Times;Serif" w:hAnsi="Times New Roman;Times;Serif"/>
          <w:b/>
          <w:i/>
          <w:caps w:val="false"/>
          <w:smallCaps w:val="false"/>
          <w:sz w:val="20"/>
        </w:rPr>
        <w:t>Term Sheet</w:t>
      </w:r>
      <w:r>
        <w:rPr>
          <w:rFonts w:ascii="Times New Roman;Times;Serif" w:hAnsi="Times New Roman;Times;Serif"/>
          <w:b w:val="false"/>
          <w:i w:val="false"/>
          <w:caps w:val="false"/>
          <w:smallCaps w:val="false"/>
          <w:sz w:val="20"/>
        </w:rPr>
        <w:t xml:space="preserve">. The Company will prepare a final term sheet relating to this offering of the Offered Securities in a form approved by the Representatives (as set forth in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hereto) and will file such term sheet pursuant to and within the time required by Rule 433(d)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 </w:t>
      </w:r>
      <w:r>
        <w:rPr>
          <w:rFonts w:ascii="Times New Roman;Times;Serif" w:hAnsi="Times New Roman;Times;Serif"/>
          <w:b/>
          <w:i/>
          <w:caps w:val="false"/>
          <w:smallCaps w:val="false"/>
          <w:sz w:val="20"/>
        </w:rPr>
        <w:t xml:space="preserve">Commission Filing Fees. </w:t>
      </w:r>
      <w:r>
        <w:rPr>
          <w:rFonts w:ascii="Times New Roman;Times;Serif" w:hAnsi="Times New Roman;Times;Serif"/>
          <w:b w:val="false"/>
          <w:i w:val="false"/>
          <w:caps w:val="false"/>
          <w:smallCaps w:val="false"/>
          <w:sz w:val="20"/>
        </w:rPr>
        <w:t>The Company agrees to pay the required Commission filing fees relating to the Offered Securities within the time required by Rule 456(b)(1) under the Securities Act without regard to the proviso therein and otherwise in accordance with the Rules 456(b) and 457(r)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 Payment of Expenses. </w:t>
      </w:r>
      <w:r>
        <w:rPr>
          <w:rFonts w:ascii="Times New Roman;Times;Serif" w:hAnsi="Times New Roman;Times;Serif"/>
          <w:b w:val="false"/>
          <w:i w:val="false"/>
          <w:caps w:val="false"/>
          <w:smallCaps w:val="false"/>
          <w:sz w:val="20"/>
        </w:rPr>
        <w:t>The Company agrees to pay all costs, fees and expenses incurred in connection with the performance of its obligations hereunder and in connection with the transactions contemplated hereby, including without limitation (i) all expenses incident to the issuance and delivery of the Offered Securities (including all printing and engraving costs), (ii) all fees and expenses of any registrar and transfer agent, (iii) all necessary issue, transfer, registration, stamp and other similar taxes in connection with the issuance and sale of the Offered Securities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Securities, including any related filing fees and the legal fees of, and disbursements by, counsel to the Underwriters, provided that the fees and expenses of such counsel to the Underwriters under subsections (vi) and (vii) of this Section 4 shall not exceed $7,500, (viii) the costs and expenses of the Company relating to investor presentations on any “road show”, any Permitted Section 5(d) Communication or any Section 5(d) Oral Communication undertaken in connection with the offering of the Offered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the cost of any aircraft chartered in connection with the road show, (ix) the fees and expenses associated with listing of a number of shares of Common Stock equal to the Maximum Number of Underlying Securities on Nasdaq, (x) the fees and expenses of the Trustee and any paying agent (including related fees and expenses of any counsel to such parties); (xi) all expenses and application fees incurred in connection with the approval of the Offered Securities for book-entry transfer by DTC and (xii) all other fees, costs and expenses of the nature referred to in Item 14 of Part II of the Registration Statement. Except as provided in this Section 4 or in Section 7, Section 9 or Section 10 hereof, the Underwriters shall pay their own expenses, including the fees and disbursements of their counsel.</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Covenant of the Underwriters.</w:t>
      </w:r>
      <w:r>
        <w:rPr>
          <w:rFonts w:ascii="Times New Roman;Times;Serif" w:hAnsi="Times New Roman;Times;Serif"/>
          <w:b w:val="false"/>
          <w:i w:val="false"/>
          <w:caps w:val="false"/>
          <w:smallCaps w:val="false"/>
          <w:sz w:val="20"/>
        </w:rPr>
        <w:t xml:space="preserve"> 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Underwriters may use the term sheet as set forth in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 Conditions of the Obligations of the Underwriters. </w:t>
      </w:r>
      <w:r>
        <w:rPr>
          <w:rFonts w:ascii="Times New Roman;Times;Serif" w:hAnsi="Times New Roman;Times;Serif"/>
          <w:b w:val="false"/>
          <w:i w:val="false"/>
          <w:caps w:val="false"/>
          <w:smallCaps w:val="false"/>
          <w:sz w:val="20"/>
        </w:rPr>
        <w:t>The respective obligations of the several Underwriters hereunder to purchase and pay for the Offered Securities as provided herein on the First Closing Date and, with respect to the Optional Securities, each Option Closing Date, shall be subject to the accuracy of the representations and warranties on the part of the Company set forth in Section 1 hereof as of the date hereof and as of the First Closing Date as though then made and, with respect to the Optional Securities, as of each Option Closing Date as though then made, to the timely performance by the Company of its covenants and other obligations hereunder, and to each of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caps w:val="false"/>
          <w:smallCaps w:val="false"/>
          <w:sz w:val="20"/>
        </w:rPr>
        <w:t>Comfort Letter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On the date hereof, the Representatives shall have received from Boulay PLLP, independent registered 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caps w:val="false"/>
          <w:smallCaps w:val="false"/>
          <w:sz w:val="20"/>
        </w:rPr>
        <w:t xml:space="preserve">Compliance with Registration Requirements; No Stop Order. </w:t>
      </w:r>
      <w:r>
        <w:rPr>
          <w:rFonts w:ascii="Times New Roman;Times;Serif" w:hAnsi="Times New Roman;Times;Serif"/>
          <w:b w:val="false"/>
          <w:i w:val="false"/>
          <w:caps w:val="false"/>
          <w:smallCaps w:val="false"/>
          <w:sz w:val="20"/>
        </w:rPr>
        <w:t>For the period from and after the date of this Agreement and through and including the First Closing Date and, with respect to any Optional Securities purchased after the First Closing Date, each Option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shall have filed the Prospectus with the Commission (including the information previously omitted from the Registration Statement pursuant to Rule 430B under the Securities Act) in the manner and within the time period required by Rule 424(b) under the Securities Act and will file any free writing prospectus, if any, identified in </w:t>
      </w:r>
      <w:r>
        <w:rPr>
          <w:rFonts w:ascii="Times New Roman;Times;Serif" w:hAnsi="Times New Roman;Times;Serif"/>
          <w:b w:val="false"/>
          <w:i w:val="false"/>
          <w:caps w:val="false"/>
          <w:smallCaps w:val="false"/>
          <w:sz w:val="20"/>
          <w:u w:val="single"/>
        </w:rPr>
        <w:t xml:space="preserve">Schedule B </w:t>
      </w:r>
      <w:r>
        <w:rPr>
          <w:rFonts w:ascii="Times New Roman;Times;Serif" w:hAnsi="Times New Roman;Times;Serif"/>
          <w:b w:val="false"/>
          <w:i w:val="false"/>
          <w:caps w:val="false"/>
          <w:smallCaps w:val="false"/>
          <w:sz w:val="20"/>
        </w:rPr>
        <w:t xml:space="preserve">hereto (including the term sheet substantially in the form of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hereto) to the extent required by Rule 433 under the Securities Act; or the Company shall have filed a post-effective amendment to the Registration Statement containing the information previously omitted from the Registration Statement pursuant to Rule 430B, and such post-effective amendment shall have become effective.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stop order suspending the effectiveness of the Registration Statement or any post-effective amendment to the Registration Statement shall be in effect, and no proceedings for such purpose shall have been instituted or threatened by the Commission.</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caps w:val="false"/>
          <w:smallCaps w:val="false"/>
          <w:sz w:val="20"/>
        </w:rPr>
        <w:t>No Material Adverse Change or Ratings Agency Change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For the period from and after the date of this Agreement and through and including the First Closing Date and, with respect to any Optional Securities purchased after the First Closing Date, each Option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the judgment of the Representatives there shall not have occurred any Material Adverse Change; and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that term is used in Rule 15c3-1(c)(2)(vi)(F) under the Exchange Act.</w:t>
      </w:r>
    </w:p>
    <w:p>
      <w:pPr>
        <w:pStyle w:val="TextBody"/>
        <w:bidi w:val="0"/>
        <w:spacing w:before="0" w:after="0"/>
        <w:ind w:left="0" w:right="0" w:firstLine="721"/>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721"/>
        <w:jc w:val="left"/>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caps w:val="false"/>
          <w:smallCaps w:val="false"/>
          <w:sz w:val="20"/>
        </w:rPr>
        <w:t>Opinion of Counsel for the 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the opinion and negative assurance letter of Faegre Drinker Biddle &amp; Reath LLP, counsel for the Company, in form and substance satisfactory to the Representatives.</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i/>
          <w:caps w:val="false"/>
          <w:smallCaps w:val="false"/>
          <w:sz w:val="20"/>
        </w:rPr>
        <w:t xml:space="preserve">Opinion of Intellectual Property Counsel for the Company. </w:t>
      </w:r>
      <w:r>
        <w:rPr>
          <w:rFonts w:ascii="Times New Roman;Times;Serif" w:hAnsi="Times New Roman;Times;Serif"/>
          <w:b w:val="false"/>
          <w:i w:val="false"/>
          <w:caps w:val="false"/>
          <w:smallCaps w:val="false"/>
          <w:sz w:val="20"/>
        </w:rPr>
        <w:t>On each of the First Closing Date and each Option Closing Date, the Representatives shall have received the opinion of Nelson Mullins Riley &amp; Scarborough LLP, counsel for the Company with respect to intellectual property matters, dated as of such date, in form and substance satisfactory to the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i/>
          <w:caps w:val="false"/>
          <w:smallCaps w:val="false"/>
          <w:sz w:val="20"/>
        </w:rPr>
        <w:t>Opinion of Counsel for the Underwriters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On each of the First Closing Date and each Option Closing Date the Representatives shall have received the opinion and negative assurance letter of Cooley LLP, counsel for the Underwriters in connection with the offer and sale of the Offered Securities, in form and substance satisfactory to the Underwriters, dated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i/>
          <w:caps w:val="false"/>
          <w:smallCaps w:val="false"/>
          <w:sz w:val="20"/>
        </w:rPr>
        <w:t>Officers’ Certificate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a certificate executed by the Chief Executive Officer of the Company and the Chief Financial Officer of the Company, dated as of such date, to the effect set forth in Section 6(b)(ii) and further to the effect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the period from and including the date of this Agreement through and including such date, there has not occurred any Material Adverse 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representations, warranties and covenants of the Company set forth in Section 1 of this Agreement are true and correct with the same force and effect as though expressly made on and as of such date;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has complied with all the agreements hereunder and satisfied all the conditions on its part to be performed or satisfied hereunder at or prior to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i/>
          <w:caps w:val="false"/>
          <w:smallCaps w:val="false"/>
          <w:sz w:val="20"/>
        </w:rPr>
        <w:t>Bring-down Comfort Letter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from Boulay PLLP,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i/>
          <w:caps w:val="false"/>
          <w:smallCaps w:val="false"/>
          <w:sz w:val="20"/>
        </w:rPr>
        <w:t>Lock-Up Agreements.</w:t>
      </w:r>
      <w:r>
        <w:rPr>
          <w:rFonts w:ascii="Times New Roman;Times;Serif" w:hAnsi="Times New Roman;Times;Serif"/>
          <w:b w:val="false"/>
          <w:i w:val="false"/>
          <w:caps w:val="false"/>
          <w:smallCaps w:val="false"/>
          <w:sz w:val="20"/>
        </w:rPr>
        <w:t xml:space="preserve"> On or prior to the date hereof, the Company shall have furnished to the Representatives an agreement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from each of the persons listed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and each such agreement shall be in full force and effect on each of the First Closing Date and each Option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i/>
          <w:caps w:val="false"/>
          <w:smallCaps w:val="false"/>
          <w:sz w:val="20"/>
        </w:rPr>
        <w:t>Approval of Listing</w:t>
      </w:r>
      <w:r>
        <w:rPr>
          <w:rFonts w:ascii="Times New Roman;Times;Serif" w:hAnsi="Times New Roman;Times;Serif"/>
          <w:b w:val="false"/>
          <w:i w:val="false"/>
          <w:caps w:val="false"/>
          <w:smallCaps w:val="false"/>
          <w:sz w:val="20"/>
        </w:rPr>
        <w:t>. At the First Closing Date, the Company shall have provided notification to the Nasdaq that the Company intends to issue the number of shares of Common Stock equal to the Maximum Number of Underlying Securities and there shall not be any written objection from the Nasdaq with respect to such notification.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The Offered Securities shall be eligible for clearance and settlement through DTC.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 </w:t>
      </w:r>
      <w:r>
        <w:rPr>
          <w:rFonts w:ascii="Times New Roman;Times;Serif" w:hAnsi="Times New Roman;Times;Serif"/>
          <w:b/>
          <w:i/>
          <w:caps w:val="false"/>
          <w:smallCaps w:val="false"/>
          <w:sz w:val="20"/>
        </w:rPr>
        <w:t>Additional Documents</w:t>
      </w:r>
      <w:r>
        <w:rPr>
          <w:rFonts w:ascii="Times New Roman;Times;Serif" w:hAnsi="Times New Roman;Times;Serif"/>
          <w:b w:val="false"/>
          <w:i w:val="false"/>
          <w:caps w:val="false"/>
          <w:smallCaps w:val="false"/>
          <w:sz w:val="20"/>
        </w:rPr>
        <w:t>. On or before each of the First Closing Date and each Option Closing Date, the Representatives and counsel for the 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satisfactory in form and substance to the Representatives and counsel for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condition specified in this Section 6 is not satisfied when and as required to be satisfied, this Agreement may be terminated by the Representatives by notice from Jefferies, J.P. Morgan, TD Cowen and Guggenheim Securities to the Company at any time on or prior to the First Closing Date and, with respect to the Optional Securities,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pStyle w:val="TextBody"/>
        <w:bidi w:val="0"/>
        <w:spacing w:before="0" w:after="0"/>
        <w:ind w:left="0" w:right="0" w:firstLine="143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Reimbursement of Underwriters’ Expenses</w:t>
      </w:r>
      <w:r>
        <w:rPr>
          <w:rFonts w:ascii="Times New Roman;Times;Serif" w:hAnsi="Times New Roman;Times;Serif"/>
          <w:b w:val="false"/>
          <w:i w:val="false"/>
          <w:caps w:val="false"/>
          <w:smallCaps w:val="false"/>
          <w:sz w:val="20"/>
        </w:rPr>
        <w:t>. If this Agreement is terminated by the Representatives pursuant to Section 6, Section 11 or Section 12, or if the sale to the Underwriters of the Offered Securities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Securities, including, but not limited to, fees and disbursements of counsel, printing expenses, travel expenses, postage, facsimile and telephone charges. For the avoidance of doubt, it is understood that the Company will not pay or reimburse any costs, fees or expenses incurred by any Underwriter that defaults on its obligations to purchase Offered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 Effectiveness of this Agreement</w:t>
      </w:r>
      <w:r>
        <w:rPr>
          <w:rFonts w:ascii="Times New Roman;Times;Serif" w:hAnsi="Times New Roman;Times;Serif"/>
          <w:b w:val="false"/>
          <w:i w:val="false"/>
          <w:caps w:val="false"/>
          <w:smallCaps w:val="false"/>
          <w:sz w:val="20"/>
        </w:rPr>
        <w:t>. This Agreement shall become effective upon the execution and delivery hereof by the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caps w:val="false"/>
          <w:smallCaps w:val="false"/>
          <w:sz w:val="20"/>
        </w:rPr>
        <w:t>Indemnification of the Underwriters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The Company agrees to indemnify and hold harmless each Underwriter, its affiliates, 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(A)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Offered Securities or the offering contemplated hereby, and which is included as part of or referred to in any loss, claim, damage, liability or action arising out of or based upon any matter covered by clause (i) or (ii) above, or (B) the violation of any laws or regulations of foreign jurisdictions where Offered Securities have been offered or sold;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caps w:val="false"/>
          <w:smallCaps w:val="false"/>
          <w:sz w:val="20"/>
        </w:rPr>
        <w:t>Indemnification of the Company, its Directors and Officers</w:t>
      </w:r>
      <w:r>
        <w:rPr>
          <w:rFonts w:ascii="Times New Roman;Times;Serif" w:hAnsi="Times New Roman;Times;Serif"/>
          <w:b w:val="false"/>
          <w:i w:val="false"/>
          <w:caps w:val="false"/>
          <w:smallCaps w:val="false"/>
          <w:sz w:val="20"/>
        </w:rPr>
        <w:t>. Each Underwriter agrees, severally and not jointly,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such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or the Prospectus (or any amendment or supplement to the foregoing) are the statements set forth in the first sentence of the third paragraph under the caption “Underwriting”, the first and second sentences of the first paragraph under the section entitled “Commission and Expenses,” the first sentence of the first paragraph under the section entitled “Stabilization,” and the first sentence of the first paragraph under the section entitled “Electronic Distribution,” each under the caption “Underwriting” in the Preliminary Prospectus and the Prospectus. The indemnity agreement set forth in this Section 9(b) shall be in addition to any liabilities that each Underwriter may otherwise have.</w:t>
      </w:r>
    </w:p>
    <w:p>
      <w:pPr>
        <w:pStyle w:val="TextBody"/>
        <w:bidi w:val="0"/>
        <w:spacing w:before="0" w:after="0"/>
        <w:ind w:left="0" w:right="0" w:firstLine="72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caps w:val="false"/>
          <w:smallCaps w:val="false"/>
          <w:sz w:val="20"/>
        </w:rPr>
        <w:t>Notifications and Other Indemnification Procedures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Promptly after receipt by an indemnified party under this Section 9 of notice of the 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Jefferies, J.P. Morgan, TD Cowen and Guggenheim Securities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pStyle w:val="TextBody"/>
        <w:bidi w:val="0"/>
        <w:spacing w:before="0" w:after="0"/>
        <w:ind w:left="0" w:right="0" w:firstLine="721"/>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721"/>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caps w:val="false"/>
          <w:smallCaps w:val="false"/>
          <w:sz w:val="20"/>
        </w:rPr>
        <w:t>Settlements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indemnifying party under this Section 9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 Contribution</w:t>
      </w:r>
      <w:r>
        <w:rPr>
          <w:rFonts w:ascii="Times New Roman;Times;Serif" w:hAnsi="Times New Roman;Times;Serif"/>
          <w:b w:val="false"/>
          <w:i w:val="false"/>
          <w:caps w:val="false"/>
          <w:smallCaps w:val="false"/>
          <w:sz w:val="20"/>
        </w:rPr>
        <w:t>. If the indemnification provided for in Section 9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Securities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Securities pursuant to this Agreement shall be deemed to be in the same respective proportions as the total proceeds from the offering of the Offered Securities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 additional notice shall be required with respect to any action for which notice has been given under Section 9(c) for purposes of indemnification.</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719"/>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provisions of this Section 10, no Underwriter shall be required to contribute any amount in excess of the underwriting discounts and commissions received by such Underwriter in connection with the Offered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Default of One or More of the Several Underwriters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If, on the First Closing Date or any Option Closing Date any one or more of the several Underwriters shall fail or refuse to purchase Offered Securities that it or they have agreed to purchase hereunder on such date, and the aggregate principal amount of Offered Securities which such defaulting Underwriter or Underwriters agreed but failed or refused to purchase does not exceed 10% of the aggregate principal amount of the Offered Securities to be purchased on such date, the Representatives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of the principal amount of Firm Securities set forth opposite their respective names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bears to the aggregate principal amount of Firm Securities set forth opposite the names of all such non-defaulting Underwriters, or in such other proportions as may be specified by the Representatives with the consent of the non-defaulting Underwriters, to purchase the Offered Securities which such defaulting Underwriter or Underwriters agreed but failed or refused to purchase on such date. If, on the First Closing Date or any Option Closing Date any one or more of the Underwriters shall fail or refuse to purchase Offered Securities and the aggregate principal amount of Offered Securities with respect to which such default occurs exceeds 10% of the aggregate principal amount of Offered Securities to be purchased on such date, and arrangements satisfactory to the Representatives and the Company for the purchase of such Offered Securities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term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Termination of this Agreement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Prior to the purchase of the Firm Securities by the Underwriters on the First Closing Date, this Agreement may be terminated by the Representatives by notice given to the Company if at any time: (i) trading or quotation in any of the Company’s securities shall have been suspended or limited by the Commission or by the Nasdaq, or trading in securities generally on either the Nasdaq or the NYSE shall have been suspended or limited, or minimum or maximum prices shall have been generally established on any of such stock exchanges; (ii) a general banking moratorium shall have been declared by any federal or New York authorities or a material disruption in commercial banking or securities settlement or clearance services in the United States; (iii) there shall have occurred any outbreak or escalation of national or international hostilities or the declaration of the United States of a national emergency or war,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Securities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provisions of Section 9 and Section 10 shall at all times be effective and shall survive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 No Advisory or Fiduciary Relationship. </w:t>
      </w:r>
      <w:r>
        <w:rPr>
          <w:rFonts w:ascii="Times New Roman;Times;Serif" w:hAnsi="Times New Roman;Times;Serif"/>
          <w:b w:val="false"/>
          <w:i w:val="false"/>
          <w:caps w:val="false"/>
          <w:smallCaps w:val="false"/>
          <w:sz w:val="20"/>
        </w:rPr>
        <w:t>The Company acknowledges and agrees that (a) the purchase and sale of the Offered Securities pursuant to this Agreement, including the determination of the public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 Representations and Indemnities to Survive Delivery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respective indemnities, agreements, 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Securities sold hereunder and any termination of this Agreement.</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 Notices</w:t>
      </w:r>
      <w:r>
        <w:rPr>
          <w:rFonts w:ascii="Times New Roman;Times;Serif" w:hAnsi="Times New Roman;Times;Serif"/>
          <w:b w:val="false"/>
          <w:i w:val="false"/>
          <w:caps w:val="false"/>
          <w:smallCaps w:val="false"/>
          <w:sz w:val="20"/>
        </w:rPr>
        <w:t>. All communications hereunder shall be in writing and shall be mailed, hand delivered or telecopied and confirmed to the parties hereto as follows:</w:t>
      </w:r>
    </w:p>
    <w:p>
      <w:pPr>
        <w:pStyle w:val="TextBody"/>
        <w:bidi w:val="0"/>
        <w:spacing w:before="0" w:after="0"/>
        <w:ind w:left="0" w:right="0" w:firstLine="144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2060"/>
        <w:gridCol w:w="60"/>
        <w:gridCol w:w="405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Representatives: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Madison Avenue</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(646) 619-4437</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Equity Syndicate Desk</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 622-8358</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Vanderbilt Avenue</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Equity Capital Markets</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 Madison Avenue</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 658-9689</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Head of Equity Capital Markets</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Hudson Yards</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Richard C. Segal</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Inc.</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16305 36th Avenue North, Suite 100</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 55446</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Brian F. Sullivan</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Faegre Drinker Biddle &amp; Reath LLP</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Wells Fargo Center 90 South Seventh Street</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 55402</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Jonathan R. Zimmerman</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change the address for receipt of communications by giving written notice to the others.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16. Successors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This Agreement will inure to the benefit of and be binding upon the parties hereto, including any substitute Underwriters 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w:t>
      </w:r>
      <w:r>
        <w:rPr>
          <w:rFonts w:ascii="Times New Roman;Times;Serif" w:hAnsi="Times New Roman;Times;Serif"/>
          <w:b/>
          <w:i w:val="false"/>
          <w:caps w:val="false"/>
          <w:smallCaps w:val="false"/>
          <w:sz w:val="20"/>
        </w:rPr>
        <w:t>successors</w:t>
      </w:r>
      <w:r>
        <w:rPr>
          <w:rFonts w:ascii="Times New Roman;Times;Serif" w:hAnsi="Times New Roman;Times;Serif"/>
          <w:b w:val="false"/>
          <w:i w:val="false"/>
          <w:caps w:val="false"/>
          <w:smallCaps w:val="false"/>
          <w:sz w:val="20"/>
        </w:rPr>
        <w:t>” shall not include any purchaser of the Offered Securities as such from any of the Underwriters merely by reason of such purchase.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 Partial Unenforceability</w:t>
      </w:r>
      <w:r>
        <w:rPr>
          <w:rFonts w:ascii="Times New Roman;Times;Serif" w:hAnsi="Times New Roman;Times;Serif"/>
          <w:b w:val="false"/>
          <w:i w:val="false"/>
          <w:caps w:val="false"/>
          <w:smallCaps w:val="false"/>
          <w:sz w:val="20"/>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18. Recognition of the U.S. Special Resolution Regimes.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(A) “</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(B)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and (D) “U</w:t>
      </w:r>
      <w:r>
        <w:rPr>
          <w:rFonts w:ascii="Times New Roman;Times;Serif" w:hAnsi="Times New Roman;Times;Serif"/>
          <w:b/>
          <w:i w:val="false"/>
          <w:caps w:val="false"/>
          <w:smallCaps w:val="false"/>
          <w:sz w:val="20"/>
        </w:rPr>
        <w:t>.S.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19. Waiver of Trial by Jury</w:t>
      </w:r>
      <w:r>
        <w:rPr>
          <w:rFonts w:ascii="Times New Roman;Times;Serif" w:hAnsi="Times New Roman;Times;Serif"/>
          <w:b w:val="false"/>
          <w:i w:val="false"/>
          <w:caps w:val="false"/>
          <w:smallCaps w:val="false"/>
          <w:sz w:val="20"/>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 Governing Law Provisions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 General Provisions. </w:t>
      </w:r>
      <w:r>
        <w:rPr>
          <w:rFonts w:ascii="Times New Roman;Times;Serif" w:hAnsi="Times New Roman;Times;Serif"/>
          <w:b w:val="false"/>
          <w:i w:val="false"/>
          <w:caps w:val="false"/>
          <w:smallCaps w:val="false"/>
          <w:sz w:val="20"/>
        </w:rPr>
        <w:t>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60"/>
        <w:gridCol w:w="545"/>
        <w:gridCol w:w="194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CELCUITY INC.</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Brian F. Sullivan</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F. Sullivan</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Underwriting Agreement is hereby confirmed and accepted by the Representatives in New York, New York as of the date first above written.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JEFFERIES LLC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 MORGAN SECURITIES LLC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TD SECURITIES (USA) LLC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GUGGENHEIM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and as Representatives</w:t>
        <w:br/>
        <w:t>of the several Underwriters named 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attached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JEFFERIES LLC</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545"/>
        <w:gridCol w:w="1565"/>
        <w:gridCol w:w="6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Coyler Curtis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Colyer Curtis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 MORGAN SECURITIES LLC</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545"/>
        <w:gridCol w:w="1565"/>
        <w:gridCol w:w="6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Suraj Vasishtha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Suraj Vasishtha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TD SECURITIES (USA) LLC</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545"/>
        <w:gridCol w:w="1565"/>
        <w:gridCol w:w="6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Tucker Martin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Tucker Martin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13"/>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GUGGENHEIM SECURITIES, LLC</w:t>
      </w:r>
    </w:p>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545"/>
        <w:gridCol w:w="2135"/>
        <w:gridCol w:w="6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Jordan Bliss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Jordan Bliss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Managing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 (Debt)]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jc w:val="center"/>
        <w:rPr>
          <w:caps w:val="false"/>
          <w:smallCaps w:val="false"/>
        </w:rPr>
      </w:pPr>
      <w:r>
        <w:rPr>
          <w:caps w:val="false"/>
          <w:smallCaps w:val="false"/>
        </w:rPr>
        <w:t> </w:t>
      </w:r>
    </w:p>
    <w:tbl>
      <w:tblPr>
        <w:tblW w:w="4494" w:type="dxa"/>
        <w:jc w:val="left"/>
        <w:tblInd w:w="0" w:type="dxa"/>
        <w:tblLayout w:type="fixed"/>
        <w:tblCellMar>
          <w:top w:w="0" w:type="dxa"/>
          <w:left w:w="0" w:type="dxa"/>
          <w:bottom w:w="28" w:type="dxa"/>
          <w:right w:w="0" w:type="dxa"/>
        </w:tblCellMar>
      </w:tblPr>
      <w:tblGrid>
        <w:gridCol w:w="3005"/>
        <w:gridCol w:w="60"/>
        <w:gridCol w:w="143"/>
        <w:gridCol w:w="1211"/>
        <w:gridCol w:w="75"/>
      </w:tblGrid>
      <w:tr>
        <w:trPr/>
        <w:tc>
          <w:tcPr>
            <w:tcW w:w="30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Amount of</w:t>
              <w:br/>
              <w:t>Firm Securities</w:t>
              <w:br/>
              <w:t>to be Purchased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Craig-Hallum Capital Group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Nomura Securities International,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 Securities,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1"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Free Writing Prospectuses Included in the Time of Sale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Pricing Term Sheet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0"/>
        <w:jc w:val="right"/>
        <w:rPr>
          <w:caps w:val="false"/>
          <w:smallCaps w:val="false"/>
        </w:rPr>
      </w:pPr>
      <w:r>
        <w:rPr>
          <w:caps w:val="false"/>
          <w:smallCaps w:val="false"/>
        </w:rPr>
        <w:t> </w:t>
      </w:r>
    </w:p>
    <w:p>
      <w:pPr>
        <w:pStyle w:val="TextBody"/>
        <w:bidi w:val="0"/>
        <w:spacing w:before="0" w:after="0"/>
        <w:ind w:left="0" w:right="0" w:firstLine="140"/>
        <w:jc w:val="righ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14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Filed Pursuant to Rule 433</w:t>
      </w:r>
    </w:p>
    <w:p>
      <w:pPr>
        <w:pStyle w:val="TextBody"/>
        <w:bidi w:val="0"/>
        <w:spacing w:before="0" w:after="0"/>
        <w:ind w:left="0" w:right="0" w:firstLine="14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Registration No. 333-292646</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Issuer Free Writing Prospectus, dated June 3, 2026</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PRICING TERM SHEET</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June 3, 2026</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drawing>
          <wp:inline distT="0" distB="0" distL="0" distR="0">
            <wp:extent cx="2203450" cy="768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203450" cy="768350"/>
                    </a:xfrm>
                    <a:prstGeom prst="rect">
                      <a:avLst/>
                    </a:prstGeom>
                  </pic:spPr>
                </pic:pic>
              </a:graphicData>
            </a:graphic>
          </wp:inline>
        </w:drawing>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Celcuity Inc.</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$500.0 Million Aggregate Principal Amount of 0.250% Convertible Senior Notes due 2032</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The information in this pricing term sheet supplements Celcuity Inc.’s (“Celcuity”) preliminary prospectus supplement, dated June 3, 2026, (the “Preliminary Prospectus Supplement”), filed pursuant to Rule 424(b) under the Securities Act of 1933, as amended (the “Securities Act”), relating to an offering of convertible senior notes (the “Convertible Notes Offering”), and the accompanying prospectus, dated January 9, 2026. This pricing term sheet supersedes the information in the Preliminary Prospectus Supplement to the extent inconsistent with the information in the Preliminary Prospectus Supplement. Terms used, but not defined, in this pricing term sheet have the respective meanings set forth in the Preliminary Prospectus Supplement. As used in this pricing term sheet, “we,” “our” and “us” refer to Celcuity. Celcuity has increased the size of the Convertible Notes Offering from $400,000,000 to $500,000,000 (or, if the underwriters of the Convertible Notes Offering fully exercise their over-allotment option, $575,000,000). The final prospectus supplement relating to the Convertible Notes Offering will reflect conforming changes relating to such increase in the size of the Convertible Notes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61"/>
        <w:gridCol w:w="60"/>
        <w:gridCol w:w="7984"/>
      </w:tblGrid>
      <w:tr>
        <w:trPr/>
        <w:tc>
          <w:tcPr>
            <w:tcW w:w="21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Inc.</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Ticker/Exchange for Our Common Stock (“Common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CELC” / The Nasdaq Capital Market</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0.250% Convertible Senior Notes due 2032 (the “Notes”)</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Size: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 million aggregate principal amount of Notes (or $575.0 million aggregate principal amount if the underwriters of the Convertible Notes Offering exercise their over-allotment option in full)</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unsecured.</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Maturity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2032, unless earlier converted, redeemed or repurchased</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of principal amount per Note</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Discount: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of the principal amount of the Notes, and approximately $15.0 million in the aggregate (or approximately $17.3 million in the aggregate, if the underwriters of the Convertible Notes Offering exercise their over-allotment option in full)</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0.250% per annum, payable semi-annually in arrears on February 1 and August 1 of each year, beginning on February 1, 2027. In addition, special interest will accrue on the Notes in the circumstances described in the Preliminary Prospectus Supplement under the caption “Description of Notes—Special Interest as Sole Remedy for Certain Reporting Defaults.”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81"/>
        <w:gridCol w:w="60"/>
        <w:gridCol w:w="8264"/>
      </w:tblGrid>
      <w:tr>
        <w:trPr/>
        <w:tc>
          <w:tcPr>
            <w:tcW w:w="18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 2026</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T+2; June 8, 2026</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to us from the Convertible Notes Offering will be approximately $484.3 million (or approximately $557.0 million if the underwriters of the Convertible Notes Offering exercise their over-allotment option in full), after deducting the underwriting discounts and commissions and our estimated offering expenses.</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Convertible Notes Offering to repay in full all outstanding obligations under its amended and restated loan agreement with Oxford Finance, LLC, as collateral agent, and the lenders party thereto and the remainder for working capital and general corporate purposes, which may include clinical trial expenditures, commercial launch expenditures, commercialization expenditures, research and development expenditures, capital expenditures, expansion of business development activities and other general corporate purposes. We may also use a portion of the proceeds for the potential acquisition of businesses, technologies, and products, although we have no current binding understandings, commitments, or agreements to do so. See “Use of Proceeds” in the Preliminary Prospectus Supplement.</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Last Reported Sale Price per Share of the Common Stock on June 3,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$88.95</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Conversion Rate: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8.0302 shares of Common Stock per $1,000 principal amount of the Notes</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Conversion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$124.53 per share of Common Stock</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Premium: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40.0% above the last reported sale price of our Common Stock on The Nasdaq Capital Market on June 3, 2026</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Book-Running Managers: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Lead Manager: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Capital LLC</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Co-Managers: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Craig-Hallum Capital Group LLC</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Nomura Securities International, Inc.</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 Securities, LLC</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CUSIP/ISIN: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15102K AB6 / ISIN: US15102KAB61</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Denominations/Multiple: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 $1,000</w:t>
            </w:r>
          </w:p>
        </w:tc>
      </w:tr>
      <w:tr>
        <w:trPr/>
        <w:tc>
          <w:tcPr>
            <w:tcW w:w="18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Increase in Conversion Rate in Connection with a Make-Whole Fundamental Change</w:t>
      </w:r>
    </w:p>
    <w:p>
      <w:pPr>
        <w:pStyle w:val="TextBody"/>
        <w:bidi w:val="0"/>
        <w:spacing w:before="0" w:after="0"/>
        <w:ind w:left="0" w:right="0" w:firstLine="1"/>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If a make-whole fundamental change occurs and the conversion date for the conversion of a Note occurs during the related make-whole fundamental change conversion period, then, subject to the provisions described in the Preliminary Prospectus Supplement under the caption “Description of Notes—Conversion Rights—Increase in Conversion Rate in Connection with a Make-Whole Fundamental Change,” the conversion rate applicable to such conversion will be increased by a number of shares of Common Stock (the “Additional Shares”) set forth in the table below corresponding (after interpolation as described below) to the make-whole fundamental change effective date and the stock price of such make-whole fundamental change: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85"/>
        <w:gridCol w:w="60"/>
        <w:gridCol w:w="60"/>
        <w:gridCol w:w="590"/>
        <w:gridCol w:w="60"/>
        <w:gridCol w:w="60"/>
        <w:gridCol w:w="64"/>
        <w:gridCol w:w="631"/>
        <w:gridCol w:w="60"/>
        <w:gridCol w:w="60"/>
        <w:gridCol w:w="64"/>
        <w:gridCol w:w="631"/>
        <w:gridCol w:w="60"/>
        <w:gridCol w:w="60"/>
        <w:gridCol w:w="64"/>
        <w:gridCol w:w="631"/>
        <w:gridCol w:w="60"/>
        <w:gridCol w:w="60"/>
        <w:gridCol w:w="64"/>
        <w:gridCol w:w="631"/>
        <w:gridCol w:w="60"/>
        <w:gridCol w:w="60"/>
        <w:gridCol w:w="64"/>
        <w:gridCol w:w="631"/>
        <w:gridCol w:w="60"/>
        <w:gridCol w:w="60"/>
        <w:gridCol w:w="64"/>
        <w:gridCol w:w="631"/>
        <w:gridCol w:w="60"/>
        <w:gridCol w:w="60"/>
        <w:gridCol w:w="64"/>
        <w:gridCol w:w="631"/>
        <w:gridCol w:w="60"/>
        <w:gridCol w:w="60"/>
        <w:gridCol w:w="64"/>
        <w:gridCol w:w="631"/>
        <w:gridCol w:w="60"/>
        <w:gridCol w:w="60"/>
        <w:gridCol w:w="64"/>
        <w:gridCol w:w="631"/>
        <w:gridCol w:w="75"/>
      </w:tblGrid>
      <w:tr>
        <w:trPr/>
        <w:tc>
          <w:tcPr>
            <w:tcW w:w="20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Make-Whole Fundamental 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5"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Price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$88.95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$124.53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$142.50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$161.89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$625.00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$825.00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8,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0.7151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0.7134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0.9458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0.5490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0.7845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0.7979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0.4966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If such make-whole fundamental change effective date or stock price is not set forth in the table above, then: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stock price is greater than $825.00 (subject to adjustment in the same manner as the stock prices set forth in the column headings of the table above are adjusted, as described below under the caption “—Adjustment of Stock Prices and Number of Additional Shares”), or less than $88.95 (subject to adjustment in the same manner), per share of our Common Stock , then no additional shares of our Common Stock will be added to the conversion rate.</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Notwithstanding anything to the contrary, in no event will the conversion rate be increased to an amount that exceeds 11.2422 shares of our Common Stock per $1,000 principal amount of notes, which amount is subject to adjustment in the same manner as, and at the same time and for the same events for which, the conversion rate is required to be adjusted pursuant to the provisions described in the Preliminary Prospectus Supplement under the caption “Description of Notes—Conversion Rights—Conversion Rate Adjustments—Generally.”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We have filed a registration statement (including a prospectus) and the Preliminary Prospectus Supplement with the SEC for the offering to which this communication relates. Before you invest, you should read the Preliminary Prospectus Supplement and the prospectus in that registration statement and other documents we have filed with the SEC for more complete information about us and this offering. You may get these documents free by visiting EDGAR on the SEC website at www.sec.gov. Alternatively, we, any underwriter or any dealer participating in the offering will arrange to send you the Preliminary Prospectus Supplement (or, when available, the applicable final prospectus supplement) and the accompanying prospectus upon request to: Jefferies LLC, Attn: Equity Syndicate Prospectus Department, 520 Madison Avenue, New York, NY 10022, by telephone at (877) 821-7388 or by email at prospectus_department@jefferies.com; J.P. Morgan Securities LLC, Attention Broadridge Financial Solutions, 1155 Long Island Avenue, Edgewood, New York 11717, or by email at prospectus-eq_fi@jpmchase.com and postsalemanualrequests@broadridge.com; TD Securities (USA) LLC, c/o Broadridge Financial Solutions, 1155 Long Island Avenue, Edgewood, NY 11717 or by email at TDManualrequest@broadridge.com; and Guggenheim Securities, LLC, Attention: Equity Syndicate Department, 330 Madison Avenue, New York, NY 10017, by telephone at (212) 518-9544 or by email at GSEquityProspectusDelivery@guggenheimpartners.com.</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information in this pricing term sheet is not a complete description of the Notes or the Convertible Notes Offering. You should rely only on the information contained or incorporated by reference in the Preliminary Prospectus Supplement and the accompanying prospectus, as supplemented by this pricing term sheet, in making an investment decision with respect to the Notes.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Jefferies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Madison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J.P. Morgan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TD Securities (USA)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Vanderbilt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Guggenheim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 Madison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350"/>
        <w:gridCol w:w="2585"/>
      </w:tblGrid>
      <w:tr>
        <w:trPr/>
        <w:tc>
          <w:tcPr>
            <w:tcW w:w="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w:t>
            </w:r>
          </w:p>
        </w:tc>
        <w:tc>
          <w:tcPr>
            <w:tcW w:w="25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Celcuity Inc.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an owner of shares of common stock, par value $0.001 per share, of the Company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or of securities convertible into or exchangeable or exercisable for Shares. The Company proposes to enter into (i) an underwriting agreement (the “</w:t>
      </w:r>
      <w:r>
        <w:rPr>
          <w:rFonts w:ascii="Times New Roman;Times;Serif" w:hAnsi="Times New Roman;Times;Serif"/>
          <w:b/>
          <w:i w:val="false"/>
          <w:caps w:val="false"/>
          <w:smallCaps w:val="false"/>
          <w:sz w:val="20"/>
        </w:rPr>
        <w:t>Equity Underwriting Agreement</w:t>
      </w:r>
      <w:r>
        <w:rPr>
          <w:rFonts w:ascii="Times New Roman;Times;Serif" w:hAnsi="Times New Roman;Times;Serif"/>
          <w:b w:val="false"/>
          <w:i w:val="false"/>
          <w:caps w:val="false"/>
          <w:smallCaps w:val="false"/>
          <w:sz w:val="20"/>
        </w:rPr>
        <w:t>”) with Jefferies LLC (“</w:t>
      </w:r>
      <w:r>
        <w:rPr>
          <w:rFonts w:ascii="Times New Roman;Times;Serif" w:hAnsi="Times New Roman;Times;Serif"/>
          <w:b/>
          <w:i w:val="false"/>
          <w:caps w:val="false"/>
          <w:smallCaps w:val="false"/>
          <w:sz w:val="20"/>
        </w:rPr>
        <w:t>Jefferies</w:t>
      </w:r>
      <w:r>
        <w:rPr>
          <w:rFonts w:ascii="Times New Roman;Times;Serif" w:hAnsi="Times New Roman;Times;Serif"/>
          <w:b w:val="false"/>
          <w:i w:val="false"/>
          <w:caps w:val="false"/>
          <w:smallCaps w:val="false"/>
          <w:sz w:val="20"/>
        </w:rPr>
        <w:t>”), J.P. Morgan Securities LLC (“</w:t>
      </w:r>
      <w:r>
        <w:rPr>
          <w:rFonts w:ascii="Times New Roman;Times;Serif" w:hAnsi="Times New Roman;Times;Serif"/>
          <w:b/>
          <w:i w:val="false"/>
          <w:caps w:val="false"/>
          <w:smallCaps w:val="false"/>
          <w:sz w:val="20"/>
        </w:rPr>
        <w:t>J.P. Morgan</w:t>
      </w:r>
      <w:r>
        <w:rPr>
          <w:rFonts w:ascii="Times New Roman;Times;Serif" w:hAnsi="Times New Roman;Times;Serif"/>
          <w:b w:val="false"/>
          <w:i w:val="false"/>
          <w:caps w:val="false"/>
          <w:smallCaps w:val="false"/>
          <w:sz w:val="20"/>
        </w:rPr>
        <w:t>”) TD Securities (USA) LLC (“</w:t>
      </w:r>
      <w:r>
        <w:rPr>
          <w:rFonts w:ascii="Times New Roman;Times;Serif" w:hAnsi="Times New Roman;Times;Serif"/>
          <w:b/>
          <w:i w:val="false"/>
          <w:caps w:val="false"/>
          <w:smallCaps w:val="false"/>
          <w:sz w:val="20"/>
        </w:rPr>
        <w:t>TD Cowen</w:t>
      </w:r>
      <w:r>
        <w:rPr>
          <w:rFonts w:ascii="Times New Roman;Times;Serif" w:hAnsi="Times New Roman;Times;Serif"/>
          <w:b w:val="false"/>
          <w:i w:val="false"/>
          <w:caps w:val="false"/>
          <w:smallCaps w:val="false"/>
          <w:sz w:val="20"/>
        </w:rPr>
        <w:t>”) and Guggenheim Securities, LLC (together with Jefferies, J.P. Morgan and TD Cowen,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acting as the representatives of the underwriters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providing for the public offering (the “</w:t>
      </w:r>
      <w:r>
        <w:rPr>
          <w:rFonts w:ascii="Times New Roman;Times;Serif" w:hAnsi="Times New Roman;Times;Serif"/>
          <w:b/>
          <w:i w:val="false"/>
          <w:caps w:val="false"/>
          <w:smallCaps w:val="false"/>
          <w:sz w:val="20"/>
        </w:rPr>
        <w:t>Equity Offering</w:t>
      </w:r>
      <w:r>
        <w:rPr>
          <w:rFonts w:ascii="Times New Roman;Times;Serif" w:hAnsi="Times New Roman;Times;Serif"/>
          <w:b w:val="false"/>
          <w:i w:val="false"/>
          <w:caps w:val="false"/>
          <w:smallCaps w:val="false"/>
          <w:sz w:val="20"/>
        </w:rPr>
        <w:t>”) by the several Underwriters of the Shares and (ii) an underwriting agreement (the “</w:t>
      </w:r>
      <w:r>
        <w:rPr>
          <w:rFonts w:ascii="Times New Roman;Times;Serif" w:hAnsi="Times New Roman;Times;Serif"/>
          <w:b/>
          <w:i w:val="false"/>
          <w:caps w:val="false"/>
          <w:smallCaps w:val="false"/>
          <w:sz w:val="20"/>
        </w:rPr>
        <w:t>Debt Underwriting Agreement</w:t>
      </w:r>
      <w:r>
        <w:rPr>
          <w:rFonts w:ascii="Times New Roman;Times;Serif" w:hAnsi="Times New Roman;Times;Serif"/>
          <w:b w:val="false"/>
          <w:i w:val="false"/>
          <w:caps w:val="false"/>
          <w:smallCaps w:val="false"/>
          <w:sz w:val="20"/>
        </w:rPr>
        <w:t>” and together with the Equity Underwriting Agreement, the “</w:t>
      </w:r>
      <w:r>
        <w:rPr>
          <w:rFonts w:ascii="Times New Roman;Times;Serif" w:hAnsi="Times New Roman;Times;Serif"/>
          <w:b/>
          <w:i w:val="false"/>
          <w:caps w:val="false"/>
          <w:smallCaps w:val="false"/>
          <w:sz w:val="20"/>
        </w:rPr>
        <w:t>Underwriting Agreements</w:t>
      </w:r>
      <w:r>
        <w:rPr>
          <w:rFonts w:ascii="Times New Roman;Times;Serif" w:hAnsi="Times New Roman;Times;Serif"/>
          <w:b w:val="false"/>
          <w:i w:val="false"/>
          <w:caps w:val="false"/>
          <w:smallCaps w:val="false"/>
          <w:sz w:val="20"/>
        </w:rPr>
        <w:t>”) with the Representatives, acting as the representatives of the Underwriters, providing for the public offering (the “</w:t>
      </w:r>
      <w:r>
        <w:rPr>
          <w:rFonts w:ascii="Times New Roman;Times;Serif" w:hAnsi="Times New Roman;Times;Serif"/>
          <w:b/>
          <w:i w:val="false"/>
          <w:caps w:val="false"/>
          <w:smallCaps w:val="false"/>
          <w:sz w:val="20"/>
        </w:rPr>
        <w:t>Debt Offering</w:t>
      </w:r>
      <w:r>
        <w:rPr>
          <w:rFonts w:ascii="Times New Roman;Times;Serif" w:hAnsi="Times New Roman;Times;Serif"/>
          <w:b w:val="false"/>
          <w:i w:val="false"/>
          <w:caps w:val="false"/>
          <w:smallCaps w:val="false"/>
          <w:sz w:val="20"/>
        </w:rPr>
        <w:t>” and together with the Equity Offering, the “</w:t>
      </w:r>
      <w:r>
        <w:rPr>
          <w:rFonts w:ascii="Times New Roman;Times;Serif" w:hAnsi="Times New Roman;Times;Serif"/>
          <w:b/>
          <w:i w:val="false"/>
          <w:caps w:val="false"/>
          <w:smallCaps w:val="false"/>
          <w:sz w:val="20"/>
        </w:rPr>
        <w:t>Offerings</w:t>
      </w:r>
      <w:r>
        <w:rPr>
          <w:rFonts w:ascii="Times New Roman;Times;Serif" w:hAnsi="Times New Roman;Times;Serif"/>
          <w:b w:val="false"/>
          <w:i w:val="false"/>
          <w:caps w:val="false"/>
          <w:smallCaps w:val="false"/>
          <w:sz w:val="20"/>
        </w:rPr>
        <w:t>”) by the several Underwriters of convertible senior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together with the Shares,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The Notes will be convertible into Shares. In the event that the Company and the Representatives determine to only commence the Equity Offering, then references herein to the term “Underwriting Agreements,” “Offerings” and “Securities” shall mean the “Equity Underwriting Agreement,” “Equity Offering” and “Shares,” respectively, while if such parties determine to only commence the Debt Offering, then references herein to the term “Underwriting Agreements,” “Offerings” and “Securities” shall mean the “Debt Underwriting Agreement,” “Debt Offering” and “Notes,” respectively. The undersigned recognizes that the Offerings will benefit each of the Company and the undersigned. The undersigned acknowledges that the Underwriters are relying on the representations and agreements of the undersigned contained in this letter agreement in conducting the Offerings and, at a subsequent date, in entering into Underwriting Agreements for the Offerings and other underwriting arrangements with the Company with respect to the Offerings.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sets forth definitions for capitalized terms used in this letter agreement that are not defined in the body of this letter agreement. Those definitions are a part of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the Representatives, which may withhold their consent in their sole discretion:</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or Offer to Sell any Shares or Related Securities currently or hereafter owned either of record or beneficially (as defined in Rule 13d-3 under the Exchange Act) by the undersigned or such Family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any Swap,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publicly announce any intention to do any of the foregoing.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restrictions will not apply to the registration of the offer and sale of the Securities, and the sale of the Securities to the Underwriters, in each case as contemplated by the Underwriting Agreements. In addition, the foregoing restrictions shall not apply to the transfer of Shares or Related Securities (i) by gift, (ii) by will or intestate succession, (iii) to a trust whose beneficiaries consist exclusively of one or more of the undersigned and/or a Family Member, (iv) if the undersigned is a corporation, partnership, limited liability company, trust or other business entity, (A) to another corporation, partnership, limited liability company, trust or other business entity that is a direct or indirect affiliate (as defined in Rule 405 promulgated under the Securities Act of 1933, as amended) of the undersigned or (B) as distributions of Shares or Related Securities to limited partners, limited liability company members or stockholders of the undersigned, or (v) if the undersigned is a trust, to the beneficiary of such trust; provided, however, that in each case set forth in (i) through (v) above, it shall be a condition to such transfer that:</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transferee executes and delivers to the Representatives an agreement in form and substance satisfactory to the Representatives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expiration of the Lock-up Period, no public disclosure or filing under the Exchange Act by any party to the transfer (donor, donee, transferor or transferee) shall be required, or made voluntarily, reporting a reduction in beneficial ownership of Shares in connection with such transfer (other than any such disclosure required to be made by applicable law, provided, however, any such filing will indicate by footnote disclosure otherwise the nature of the transfer or disposition).</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foregoing will not apply to (i) the exercise of stock options granted pursuant to the Company’s equity incentive plans disclosed in the Company’s public filings or the exercise of outstanding warrants disclosed in the Company’s public filings; provided that such restrictions shall apply to any Shares issued upon such exercise; (ii) the establishment of any contract, instruction or plan (a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that satisfies all of the requirements of Rule 10b5-1(c)(1)(i)(B) under the Exchange Act; provided that no sales of Shares or Related Securities will be made pursuant to such a Plan prior to the expiration of the Lock-up Period, and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Shares may be made under such Plan during the Lock-up Period or (iii) sales or transfers made pursuant to any Plan for the transfer of Shares or Related Securities entered into by the undersigned prior to the date of this letter agreement and such Plan has been provided to the Representatives prior to the date hereof; provided that, to the extent a public announcement or filing under the Exchange Act, if any, is required or voluntarily made by or on behalf of the undersigned or the Company regarding any such sales or transfers, such announcement or filing shall include a statement to the effect that the sale or transfer was made pursuant to a trading plan established pursuant to Rule 10b5-1.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Offerings only, the undersigned waives any registration rights relating to registration under the Securities Act of the offer and sale of any Securities and/or any Related Securities owned either of record or beneficially by the undersigned, including any rights to receive notice of the Offerings. The Company shall be a beneficiary of, and entitled to rely upon, the foregoing waiver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Securities. The undersigned will not, and will cause any Family Member not to take, directly or indirectly, any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the Underwriters have not provided any recommendation or investment advice nor have the Underwriters solicited any action from the undersigned with respect to the Offerings and the undersigned has consulted their own legal, accounting, financial, regulatory and tax advisors to the extent deemed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Offerings occur as currently contemplated or at all depends on market conditions and other factors. The Offerings will only be made pursuant to the Underwriting Agreements, the terms of which are subject to negotiation between the Company and the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this letter agreement will automatically terminate and the undersigned will be released from all obligations hereunder upon the earliest to occur, if any, of (i) the Company advises the Representatives in writing, prior to the execution of the Underwriting Agreements, that it has determined not to proceed with the Offerings, (ii) the Underwriting Agreements are executed but are terminated (other than the provisions thereof which survive termination) prior to payment for and delivery of the Securities to be sold thereunder, or (iii) the Underwriting Agreements are not executed on or before June 30, 2026.</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 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tbl>
      <w:tblPr>
        <w:tblW w:w="1445" w:type="dxa"/>
        <w:jc w:val="left"/>
        <w:tblInd w:w="0" w:type="dxa"/>
        <w:tblLayout w:type="fixed"/>
        <w:tblCellMar>
          <w:top w:w="0" w:type="dxa"/>
          <w:left w:w="0" w:type="dxa"/>
          <w:bottom w:w="0" w:type="dxa"/>
          <w:right w:w="0" w:type="dxa"/>
        </w:tblCellMar>
      </w:tblPr>
      <w:tblGrid>
        <w:gridCol w:w="1385"/>
        <w:gridCol w:w="60"/>
      </w:tblGrid>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60" w:type="dxa"/>
            <w:tcBorders/>
            <w:vAlign w:val="center"/>
          </w:tcPr>
          <w:p>
            <w:pPr>
              <w:pStyle w:val="TableContents"/>
              <w:bidi w:val="0"/>
              <w:spacing w:before="0" w:after="283"/>
              <w:jc w:val="left"/>
              <w:rPr>
                <w:sz w:val="4"/>
                <w:szCs w:val="4"/>
              </w:rPr>
            </w:pPr>
            <w:r>
              <w:rPr>
                <w:sz w:val="4"/>
                <w:szCs w:val="4"/>
              </w:rPr>
            </w:r>
          </w:p>
        </w:tc>
      </w:tr>
      <w:tr>
        <w:trPr/>
        <w:tc>
          <w:tcPr>
            <w:tcW w:w="138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8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Indicate capacity of person signing if signing as custodian or trustee, or on behalf of an entity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Letter]</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Defined Terms Used in Letter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letter agreement to which this Annex A is attached and of which it is made a part: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Call Equivalent Position</w:t>
            </w:r>
            <w:r>
              <w:rPr>
                <w:rFonts w:ascii="Times New Roman;Times;Serif" w:hAnsi="Times New Roman;Times;Serif"/>
                <w:b w:val="false"/>
                <w:i w:val="false"/>
                <w:caps w:val="false"/>
                <w:smallCaps w:val="false"/>
                <w:sz w:val="20"/>
              </w:rPr>
              <w:t>” shall have the meaning set forth in Rule 16a-1(b) under the Exchange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shall mean the Securities Exchange Act of 1934, as amended.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Family Member</w:t>
            </w:r>
            <w:r>
              <w:rPr>
                <w:rFonts w:ascii="Times New Roman;Times;Serif" w:hAnsi="Times New Roman;Times;Serif"/>
                <w:b w:val="false"/>
                <w:i w:val="false"/>
                <w:caps w:val="false"/>
                <w:smallCaps w:val="false"/>
                <w:sz w:val="20"/>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Times;Serif" w:hAnsi="Times New Roman;Times;Serif"/>
                <w:b/>
                <w:i w:val="false"/>
                <w:caps w:val="false"/>
                <w:smallCaps w:val="false"/>
                <w:sz w:val="20"/>
              </w:rPr>
              <w:t>Immediate family member</w:t>
            </w:r>
            <w:r>
              <w:rPr>
                <w:rFonts w:ascii="Times New Roman;Times;Serif" w:hAnsi="Times New Roman;Times;Serif"/>
                <w:b w:val="false"/>
                <w:i w:val="false"/>
                <w:caps w:val="false"/>
                <w:smallCaps w:val="false"/>
                <w:sz w:val="20"/>
              </w:rPr>
              <w:t>” as used above shall have the meaning set forth in Rule 16a-1(e) under the Exchange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shall mean the period beginning on the date hereof and continuing through the close of trading on the date that is 60 days after the date of the Prospectus (as defined in the Underwriting Agreements).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Put Equivalent Position</w:t>
            </w:r>
            <w:r>
              <w:rPr>
                <w:rFonts w:ascii="Times New Roman;Times;Serif" w:hAnsi="Times New Roman;Times;Serif"/>
                <w:b w:val="false"/>
                <w:i w:val="false"/>
                <w:caps w:val="false"/>
                <w:smallCaps w:val="false"/>
                <w:sz w:val="20"/>
              </w:rPr>
              <w:t>” shall have the meaning set forth in Rule 16a-1(h) under the Exchange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Securities</w:t>
            </w:r>
            <w:r>
              <w:rPr>
                <w:rFonts w:ascii="Times New Roman;Times;Serif" w:hAnsi="Times New Roman;Times;Serif"/>
                <w:b w:val="false"/>
                <w:i w:val="false"/>
                <w:caps w:val="false"/>
                <w:smallCaps w:val="false"/>
                <w:sz w:val="20"/>
              </w:rPr>
              <w:t>” shall mean any options or warrants or other rights to acquire Shares or any securities exchangeable or exercisable for or convertible into Shares, or to acquire other securities or rights ultimately exchangeable or exercisable for or convertible into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shall mean the Securities Act of 1933, as amended.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Sell or Offer to Sell</w:t>
            </w:r>
            <w:r>
              <w:rPr>
                <w:rFonts w:ascii="Times New Roman;Times;Serif" w:hAnsi="Times New Roman;Times;Serif"/>
                <w:b w:val="false"/>
                <w:i w:val="false"/>
                <w:caps w:val="false"/>
                <w:smallCaps w:val="false"/>
                <w:sz w:val="20"/>
              </w:rPr>
              <w:t>” shall mean 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offer to sell, contract to sell or lend,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any short sale or establish or increase a Put Equivalent Position or liquidate or decrease any Call Equivalent Position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pledge, hypothecate or grant any security interest in,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way transfer or dispose of in each case whether effected directly or indirectly.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Swap</w:t>
            </w:r>
            <w:r>
              <w:rPr>
                <w:rFonts w:ascii="Times New Roman;Times;Serif" w:hAnsi="Times New Roman;Times;Serif"/>
                <w:b w:val="false"/>
                <w:i w:val="false"/>
                <w:caps w:val="false"/>
                <w:smallCaps w:val="false"/>
                <w:sz w:val="20"/>
              </w:rPr>
              <w:t>” shall mean any swap, hedge or similar arrangement or agreement that transfers, in whole or in part, the economic risk of ownership of Shares or Related Securities, regardless of whether any such transaction is to be settled in securities, in cash or otherwise.</w:t>
            </w:r>
          </w:p>
        </w:tc>
      </w:tr>
    </w:tbl>
    <w:p>
      <w:pPr>
        <w:pStyle w:val="TextBody"/>
        <w:bidi w:val="0"/>
        <w:spacing w:before="0" w:after="0"/>
        <w:ind w:left="0" w:right="0" w:hanging="2"/>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not defined in this Annex A shall have the meanings given to them in the body of this letter agreement.</w:t>
      </w:r>
    </w:p>
    <w:p>
      <w:pPr>
        <w:pStyle w:val="TextBody"/>
        <w:bidi w:val="0"/>
        <w:spacing w:before="0" w:after="0"/>
        <w:ind w:left="0" w:right="0" w:hanging="2"/>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Directors, Executive Officers and Others Signing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F. Sullivan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Lance G. Laing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Vicky Hahne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E. Buller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F. Dalvey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J. Nigon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Leo T. Furcht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Polly A. Murphy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Romp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Brightstone Venture Capital Fund, LP</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5" w:name="ex4-2.htm"/>
      <w:bookmarkStart w:id="26" w:name="ksex42"/>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CELCUITY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SUPPLEMENTAL 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8,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0.250% Convertible Senior Notes due 2032</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760"/>
        <w:gridCol w:w="60"/>
        <w:gridCol w:w="1310"/>
      </w:tblGrid>
      <w:tr>
        <w:trPr/>
        <w:tc>
          <w:tcPr>
            <w:tcW w:w="3130" w:type="dxa"/>
            <w:gridSpan w:val="3"/>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 REFERENCE TABLE*</w:t>
            </w:r>
          </w:p>
        </w:tc>
      </w:tr>
      <w:tr>
        <w:trPr/>
        <w:tc>
          <w:tcPr>
            <w:tcW w:w="1760" w:type="dxa"/>
            <w:tcBorders/>
            <w:shd w:fill="FFFF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Indenture </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Indenture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w:t>
            </w:r>
          </w:p>
        </w:tc>
      </w:tr>
      <w:tr>
        <w:trPr/>
        <w:tc>
          <w:tcPr>
            <w:tcW w:w="1760" w:type="dxa"/>
            <w:tcBorders>
              <w:top w:val="single" w:sz="8" w:space="0" w:color="000000"/>
            </w:tcBorders>
            <w:shd w:fill="CCEEFF" w:val="clear"/>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310(a)(1)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2.07</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7.13</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 (last sentence)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2.12</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7.07</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7.05</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7.09</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317(a)(1)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7.10</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7.11</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2.06</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means not applicable.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Cross Reference Table is not part of the Indenture.</w:t>
      </w:r>
    </w:p>
    <w:p>
      <w:pPr>
        <w:pStyle w:val="TextBody"/>
        <w:bidi w:val="0"/>
        <w:spacing w:before="0" w:after="0"/>
        <w:ind w:left="144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090" w:type="dxa"/>
        <w:jc w:val="left"/>
        <w:tblInd w:w="0" w:type="dxa"/>
        <w:tblLayout w:type="fixed"/>
        <w:tblCellMar>
          <w:top w:w="0" w:type="dxa"/>
          <w:left w:w="0" w:type="dxa"/>
          <w:bottom w:w="0" w:type="dxa"/>
          <w:right w:w="0" w:type="dxa"/>
        </w:tblCellMar>
      </w:tblPr>
      <w:tblGrid>
        <w:gridCol w:w="1055"/>
        <w:gridCol w:w="7580"/>
        <w:gridCol w:w="455"/>
      </w:tblGrid>
      <w:tr>
        <w:trPr/>
        <w:tc>
          <w:tcPr>
            <w:tcW w:w="863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63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Definitions; Rules of Construction; Scope and Interpretation of Base Indenture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75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75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Definitions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75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of Construction.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r>
          </w:p>
        </w:tc>
        <w:tc>
          <w:tcPr>
            <w:tcW w:w="75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of Supplemental Indenture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63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2. The Notes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75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Dating and Denominations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75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Notes and Additional Notes.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75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Payment.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c>
          <w:tcPr>
            <w:tcW w:w="75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of Interest; Defaulted Amounts; When Payment Date is Not a Business Day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p>
        </w:tc>
        <w:tc>
          <w:tcPr>
            <w:tcW w:w="75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Registrar, Paying Agent and Conversion Agent.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p>
        </w:tc>
        <w:tc>
          <w:tcPr>
            <w:tcW w:w="75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 and Conversion Agent to Hold Property in Trust.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c>
          <w:tcPr>
            <w:tcW w:w="75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Lists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p>
        </w:tc>
        <w:tc>
          <w:tcPr>
            <w:tcW w:w="75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Legends.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p>
        </w:tc>
        <w:tc>
          <w:tcPr>
            <w:tcW w:w="7580"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Transfer Restrictions on Notes Subject to Conversion, Redemption or Repurchase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75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and Cancellation of Notes to Be Converted, Redeemed or Repurchased.</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75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Certain Rights with Respect to Global Notes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p>
        </w:tc>
        <w:tc>
          <w:tcPr>
            <w:tcW w:w="75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Held by the Company or its Affiliates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r>
          </w:p>
        </w:tc>
        <w:tc>
          <w:tcPr>
            <w:tcW w:w="75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Notes.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r>
          </w:p>
        </w:tc>
        <w:tc>
          <w:tcPr>
            <w:tcW w:w="75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Repurchases by the Company.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w:t>
            </w:r>
          </w:p>
        </w:tc>
        <w:tc>
          <w:tcPr>
            <w:tcW w:w="75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and ISIN Numbers.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63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3. Covenants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75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on Notes.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75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Reports.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75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Certificates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75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Stay, Extension and Usury Laws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75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Existence.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863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Repurchase and Redemption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75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Sinking Fund.</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75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Holders to Require the Company to Repurchase Notes Upon a Fundamental Change.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c>
          <w:tcPr>
            <w:tcW w:w="75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the Company to Redeem the Notes.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p>
      <w:pPr>
        <w:pStyle w:val="TextBody"/>
        <w:bidi w:val="0"/>
        <w:spacing w:before="0" w:after="0"/>
        <w:ind w:left="0" w:right="0" w:hanging="0"/>
        <w:jc w:val="left"/>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4"/>
        <w:gridCol w:w="8765"/>
        <w:gridCol w:w="456"/>
      </w:tblGrid>
      <w:tr>
        <w:trPr/>
        <w:tc>
          <w:tcPr>
            <w:tcW w:w="974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4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 The Conversion of Notes</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8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Convert.</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87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Procedures</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p>
        </w:tc>
        <w:tc>
          <w:tcPr>
            <w:tcW w:w="8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Upon Conversion</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r>
          </w:p>
        </w:tc>
        <w:tc>
          <w:tcPr>
            <w:tcW w:w="87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 and Status of Common Stock Issued Upon Conversion</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r>
          </w:p>
        </w:tc>
        <w:tc>
          <w:tcPr>
            <w:tcW w:w="8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the Conversion Rate.</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r>
          </w:p>
        </w:tc>
        <w:tc>
          <w:tcPr>
            <w:tcW w:w="87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Voluntary Adjustments</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r>
          </w:p>
        </w:tc>
        <w:tc>
          <w:tcPr>
            <w:tcW w:w="8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the Conversion Rate in Connection with a Make-Whole Fundamental Change</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r>
          </w:p>
        </w:tc>
        <w:tc>
          <w:tcPr>
            <w:tcW w:w="87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in Lieu of Conversion.</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w:t>
            </w:r>
          </w:p>
        </w:tc>
        <w:tc>
          <w:tcPr>
            <w:tcW w:w="8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Common Stock Change Event</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74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 Successors..</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8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Company May Merge, Etc.</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87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Entity Substituted.</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8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for Asset Transfers with Wholly Owned Subsidiaries.</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74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Defaults and Remedies</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8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9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p>
        </w:tc>
        <w:tc>
          <w:tcPr>
            <w:tcW w:w="87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Acceleration.</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9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p>
        </w:tc>
        <w:tc>
          <w:tcPr>
            <w:tcW w:w="8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Remedy for a Failure to Report.</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p>
        </w:tc>
        <w:tc>
          <w:tcPr>
            <w:tcW w:w="87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Remedies.</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r>
          </w:p>
        </w:tc>
        <w:tc>
          <w:tcPr>
            <w:tcW w:w="8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Past Defaults</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r>
          </w:p>
        </w:tc>
        <w:tc>
          <w:tcPr>
            <w:tcW w:w="87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Cure of Defaults; Ability to Cure or Waive Before Event of Default Occurs.</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r>
          </w:p>
        </w:tc>
        <w:tc>
          <w:tcPr>
            <w:tcW w:w="8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by Majority</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r>
          </w:p>
        </w:tc>
        <w:tc>
          <w:tcPr>
            <w:tcW w:w="87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on Suits.</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r>
          </w:p>
        </w:tc>
        <w:tc>
          <w:tcPr>
            <w:tcW w:w="8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Absolute Right of Holders to Institute Suit for the Enforcement of the Right to Receive Payment and Conversion Consideration.</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p>
        </w:tc>
        <w:tc>
          <w:tcPr>
            <w:tcW w:w="87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Suit by Trustee</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9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p>
        </w:tc>
        <w:tc>
          <w:tcPr>
            <w:tcW w:w="8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May File Proofs of Claim.</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9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r>
          </w:p>
        </w:tc>
        <w:tc>
          <w:tcPr>
            <w:tcW w:w="87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Priorities.</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9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w:t>
            </w:r>
          </w:p>
        </w:tc>
        <w:tc>
          <w:tcPr>
            <w:tcW w:w="8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Undertaking for Costs.</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9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7.14</w:t>
            </w:r>
          </w:p>
        </w:tc>
        <w:tc>
          <w:tcPr>
            <w:tcW w:w="87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Defaults.</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bl>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8100" w:type="dxa"/>
        <w:jc w:val="left"/>
        <w:tblInd w:w="0" w:type="dxa"/>
        <w:tblLayout w:type="fixed"/>
        <w:tblCellMar>
          <w:top w:w="0" w:type="dxa"/>
          <w:left w:w="0" w:type="dxa"/>
          <w:bottom w:w="0" w:type="dxa"/>
          <w:right w:w="0" w:type="dxa"/>
        </w:tblCellMar>
      </w:tblPr>
      <w:tblGrid>
        <w:gridCol w:w="1160"/>
        <w:gridCol w:w="6485"/>
        <w:gridCol w:w="455"/>
      </w:tblGrid>
      <w:tr>
        <w:trPr/>
        <w:tc>
          <w:tcPr>
            <w:tcW w:w="764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64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 Amendments, Supplements and Waivers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6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Holders.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64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of Holders.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p>
        </w:tc>
        <w:tc>
          <w:tcPr>
            <w:tcW w:w="6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Amendments, Supplements and Waivers.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p>
        </w:tc>
        <w:tc>
          <w:tcPr>
            <w:tcW w:w="64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Revocation, Effect and Solicitation of Consents; Special Record Dates; Etc.</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r>
          </w:p>
        </w:tc>
        <w:tc>
          <w:tcPr>
            <w:tcW w:w="6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Notations and Exchanges.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w:t>
            </w:r>
          </w:p>
        </w:tc>
        <w:tc>
          <w:tcPr>
            <w:tcW w:w="64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to Execute Supplemental Indentures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64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Satisfaction and Discharge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64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Company’s Obligations.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6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to Company.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p>
        </w:tc>
        <w:tc>
          <w:tcPr>
            <w:tcW w:w="64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Reinstatement.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64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 Miscellaneous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64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6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by the Trustee, the Registrar, the Paying Agent and the Conversion Agent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6485"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Personal Liability of Directors, Officers, Employees and Stockholders.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r>
          </w:p>
        </w:tc>
        <w:tc>
          <w:tcPr>
            <w:tcW w:w="6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 Waiver of Jury Trial.</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r>
          </w:p>
        </w:tc>
        <w:tc>
          <w:tcPr>
            <w:tcW w:w="64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Jurisdiction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r>
          </w:p>
        </w:tc>
        <w:tc>
          <w:tcPr>
            <w:tcW w:w="6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Adverse Interpretation of Other Agreements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w:t>
            </w:r>
          </w:p>
        </w:tc>
        <w:tc>
          <w:tcPr>
            <w:tcW w:w="64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w:t>
            </w:r>
          </w:p>
        </w:tc>
        <w:tc>
          <w:tcPr>
            <w:tcW w:w="6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w:t>
            </w:r>
          </w:p>
        </w:tc>
        <w:tc>
          <w:tcPr>
            <w:tcW w:w="64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PATRIOT Act.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r>
          </w:p>
        </w:tc>
        <w:tc>
          <w:tcPr>
            <w:tcW w:w="6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w:t>
            </w:r>
          </w:p>
        </w:tc>
        <w:tc>
          <w:tcPr>
            <w:tcW w:w="64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w:t>
            </w:r>
          </w:p>
        </w:tc>
        <w:tc>
          <w:tcPr>
            <w:tcW w:w="6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w:t>
            </w:r>
          </w:p>
        </w:tc>
        <w:tc>
          <w:tcPr>
            <w:tcW w:w="64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 Headings, Etc.</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w:t>
            </w:r>
          </w:p>
        </w:tc>
        <w:tc>
          <w:tcPr>
            <w:tcW w:w="6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Taxes.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w:t>
            </w:r>
          </w:p>
        </w:tc>
        <w:tc>
          <w:tcPr>
            <w:tcW w:w="64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Indenture Act Controls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3515"/>
        <w:gridCol w:w="455"/>
      </w:tblGrid>
      <w:tr>
        <w:trPr/>
        <w:tc>
          <w:tcPr>
            <w:tcW w:w="351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tc>
        <w:tc>
          <w:tcPr>
            <w:tcW w:w="455" w:type="dxa"/>
            <w:tcBorders>
              <w:bottom w:val="single" w:sz="8" w:space="0" w:color="000000"/>
            </w:tcBorders>
            <w:shd w:fill="FFFFFF" w:val="clear"/>
            <w:tcMar>
              <w:bottom w:w="28" w:type="dxa"/>
            </w:tcMar>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351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0"/>
              <w:jc w:val="righ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Form of Note</w:t>
            </w:r>
          </w:p>
        </w:tc>
        <w:tc>
          <w:tcPr>
            <w:tcW w:w="455" w:type="dxa"/>
            <w:tcBorders/>
            <w:shd w:fill="CCEEFF" w:val="clear"/>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351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0"/>
              <w:jc w:val="righ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B-1: Form of Global Note Legend</w:t>
            </w:r>
          </w:p>
        </w:tc>
        <w:tc>
          <w:tcPr>
            <w:tcW w:w="455" w:type="dxa"/>
            <w:tcBorders/>
            <w:shd w:fill="CCEEFF" w:val="clear"/>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B1-1</w:t>
            </w:r>
          </w:p>
        </w:tc>
      </w:tr>
      <w:tr>
        <w:trPr/>
        <w:tc>
          <w:tcPr>
            <w:tcW w:w="351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0"/>
              <w:jc w:val="righ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B-2: Form of Non-Affiliate Legend</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B2-1</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SUPPLEMENTAL INDENTURE</w:t>
      </w:r>
      <w:r>
        <w:rPr>
          <w:rFonts w:ascii="Times New Roman;Times;Serif" w:hAnsi="Times New Roman;Times;Serif"/>
          <w:b w:val="false"/>
          <w:i w:val="false"/>
          <w:caps w:val="false"/>
          <w:smallCaps w:val="false"/>
          <w:sz w:val="20"/>
        </w:rPr>
        <w:t>, dated as of June 8, 2026, between Celcuity Inc., a Delaware corporation, as issuer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U.S. Bank Trust Company,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to the Base Indenture (as defined below).</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Sections 2.01, 2.02 and 9.01(g) of the Base Indenture authorize the Company to execute a supplemental indenture thereto to set forth the terms and other provisions of any new series of Securities;</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its lawful corporate purposes, the Company has duly authorized the establishment of a new series of Securities to be titled the Company’s “0.250% Convertible Senior Notes due 2032”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xml:space="preserve">”), and has duly authorized the issuance of Notes initially in an aggregate principal amount not to exceed five hundred seventy five million dollars ($575,000,000), subject to </w:t>
      </w:r>
      <w:r>
        <w:rPr>
          <w:rFonts w:ascii="Times New Roman;Times;Serif" w:hAnsi="Times New Roman;Times;Serif"/>
          <w:b/>
          <w:i w:val="false"/>
          <w:caps w:val="false"/>
          <w:smallCaps w:val="false"/>
          <w:sz w:val="20"/>
        </w:rPr>
        <w:t>Section 2.02(B)</w:t>
      </w:r>
      <w:r>
        <w:rPr>
          <w:rFonts w:ascii="Times New Roman;Times;Serif" w:hAnsi="Times New Roman;Times;Serif"/>
          <w:b w:val="false"/>
          <w:i w:val="false"/>
          <w:caps w:val="false"/>
          <w:smallCaps w:val="false"/>
          <w:sz w:val="20"/>
        </w:rPr>
        <w:t>;</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to provide the terms and conditions of the Notes, the Company has duly authorized the execution and delivery of this Supplemental Indenture; and</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acts and things necessary to make the Notes, when executed by the Company and authenticated and delivered by the Trustee or a duly authorized authenticating agent, as provided in the Indenture, the valid, binding and legal obligations of the Company, and the Indenture a valid agreement according to its terms, have been done and performed, and the execution of this Supplemental Indenture and the issuance under the Indenture of the Notes have in all respects been duly authorized.</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THIS SUPPLEMENTAL INDENTURE WITNESSETH,</w:t>
      </w:r>
      <w:r>
        <w:rPr>
          <w:rFonts w:ascii="Times New Roman;Times;Serif" w:hAnsi="Times New Roman;Times;Serif"/>
          <w:b w:val="false"/>
          <w:i w:val="false"/>
          <w:caps w:val="false"/>
          <w:smallCaps w:val="false"/>
          <w:sz w:val="20"/>
        </w:rPr>
        <w:t xml:space="preserve"> that to declare the terms and conditions upon which the Notes are, and are to be, authenticated, issued and delivered, and in consideration of the premises and of the purchase and acceptance of the Notes by the Holders, the Company covenants and agrees with the Trustee for the equal and proportionate benefit of the respective Holders from time to time (except as otherwise provided in the Indenture) as follows: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1. </w:t>
      </w:r>
      <w:r>
        <w:rPr>
          <w:rFonts w:ascii="Times New Roman;Times;Serif" w:hAnsi="Times New Roman;Times;Serif"/>
          <w:b/>
          <w:i w:val="false"/>
          <w:smallCaps/>
          <w:sz w:val="20"/>
        </w:rPr>
        <w:t>DEFINITIONS; RULES OF CONSTRUCTION; SCOPE AND INTERPRETATION OF BASE INDENTURE</w:t>
      </w:r>
    </w:p>
    <w:p>
      <w:pPr>
        <w:pStyle w:val="TextBody"/>
        <w:bidi w:val="0"/>
        <w:spacing w:before="0" w:after="0"/>
        <w:ind w:left="3935" w:right="0" w:hanging="1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1.01 </w:t>
      </w:r>
      <w:r>
        <w:rPr>
          <w:rFonts w:ascii="Times New Roman;Times;Serif" w:hAnsi="Times New Roman;Times;Serif"/>
          <w:b/>
          <w:i w:val="false"/>
          <w:smallCaps/>
          <w:sz w:val="20"/>
        </w:rPr>
        <w:t>Definitions.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last paragraph of </w:t>
      </w:r>
      <w:r>
        <w:rPr>
          <w:rFonts w:ascii="Times New Roman;Times;Serif" w:hAnsi="Times New Roman;Times;Serif"/>
          <w:b/>
          <w:i w:val="false"/>
          <w:caps w:val="false"/>
          <w:smallCaps w:val="false"/>
          <w:sz w:val="20"/>
        </w:rPr>
        <w:t>Section 1.03</w:t>
      </w:r>
      <w:r>
        <w:rPr>
          <w:rFonts w:ascii="Times New Roman;Times;Serif" w:hAnsi="Times New Roman;Times;Serif"/>
          <w:b w:val="false"/>
          <w:i w:val="false"/>
          <w:caps w:val="false"/>
          <w:smallCaps w:val="false"/>
          <w:sz w:val="20"/>
        </w:rPr>
        <w:t xml:space="preserve">, capitalized terms used in this Supplemental Indenture without definition have the respective meanings ascribed to them in the Base Indenture. The terms defined in this </w:t>
      </w:r>
      <w:r>
        <w:rPr>
          <w:rFonts w:ascii="Times New Roman;Times;Serif" w:hAnsi="Times New Roman;Times;Serif"/>
          <w:b/>
          <w:i w:val="false"/>
          <w:caps w:val="false"/>
          <w:smallCaps w:val="false"/>
          <w:sz w:val="20"/>
        </w:rPr>
        <w:t xml:space="preserve">Section 1.01 </w:t>
      </w:r>
      <w:r>
        <w:rPr>
          <w:rFonts w:ascii="Times New Roman;Times;Serif" w:hAnsi="Times New Roman;Times;Serif"/>
          <w:b w:val="false"/>
          <w:i w:val="false"/>
          <w:caps w:val="false"/>
          <w:smallCaps w:val="false"/>
          <w:sz w:val="20"/>
        </w:rPr>
        <w:t xml:space="preserve">or referenced in </w:t>
      </w:r>
      <w:r>
        <w:rPr>
          <w:rFonts w:ascii="Times New Roman;Times;Serif" w:hAnsi="Times New Roman;Times;Serif"/>
          <w:b/>
          <w:i w:val="false"/>
          <w:caps w:val="false"/>
          <w:smallCaps w:val="false"/>
          <w:sz w:val="20"/>
        </w:rPr>
        <w:t xml:space="preserve">Section 1.02 </w:t>
      </w:r>
      <w:r>
        <w:rPr>
          <w:rFonts w:ascii="Times New Roman;Times;Serif" w:hAnsi="Times New Roman;Times;Serif"/>
          <w:b w:val="false"/>
          <w:i w:val="false"/>
          <w:caps w:val="false"/>
          <w:smallCaps w:val="false"/>
          <w:sz w:val="20"/>
        </w:rPr>
        <w:t>(except as otherwise expressly provided or unless the context otherwise requires) will apply for all purposes of the Indenture (and any further supplement thereto) as it relates to the Notes and will supersede any conflicting definitions in the Base Indenture.</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has the meaning set forth in Rule 144 as in effect on the Issue Date.</w:t>
      </w:r>
    </w:p>
    <w:p>
      <w:pPr>
        <w:pStyle w:val="TextBody"/>
        <w:bidi w:val="0"/>
        <w:spacing w:before="0" w:after="0"/>
        <w:ind w:left="2159"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Authorized Denomination</w:t>
      </w:r>
      <w:r>
        <w:rPr>
          <w:rFonts w:ascii="Times New Roman;Times;Serif" w:hAnsi="Times New Roman;Times;Serif"/>
          <w:b w:val="false"/>
          <w:i w:val="false"/>
          <w:caps w:val="false"/>
          <w:smallCaps w:val="false"/>
          <w:sz w:val="20"/>
        </w:rPr>
        <w:t>” means, with respect to a Note, a principal amount thereof equal to $1,000 or any integral multiple of $1,000 in excess thereof.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Law</w:t>
      </w:r>
      <w:r>
        <w:rPr>
          <w:rFonts w:ascii="Times New Roman;Times;Serif" w:hAnsi="Times New Roman;Times;Serif"/>
          <w:b w:val="false"/>
          <w:i w:val="false"/>
          <w:caps w:val="false"/>
          <w:smallCaps w:val="false"/>
          <w:sz w:val="20"/>
        </w:rPr>
        <w:t>” means Title 11, United States Code, or any similar U.S. federal or state or non- U.S. law for the relief of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means that certain Indenture, dated as of August 1, 2025, between the Company and Trustee.</w:t>
      </w:r>
    </w:p>
    <w:p>
      <w:pPr>
        <w:pStyle w:val="TextBody"/>
        <w:bidi w:val="0"/>
        <w:spacing w:before="0" w:after="0"/>
        <w:ind w:left="144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Bid Solicitation Agent</w:t>
      </w:r>
      <w:r>
        <w:rPr>
          <w:rFonts w:ascii="Times New Roman;Times;Serif" w:hAnsi="Times New Roman;Times;Serif"/>
          <w:b w:val="false"/>
          <w:i w:val="false"/>
          <w:caps w:val="false"/>
          <w:smallCaps w:val="false"/>
          <w:sz w:val="20"/>
        </w:rPr>
        <w:t xml:space="preserve">” means the Person who is required to obtain bids for the Trading Price in accordance with </w:t>
      </w:r>
      <w:r>
        <w:rPr>
          <w:rFonts w:ascii="Times New Roman;Times;Serif" w:hAnsi="Times New Roman;Times;Serif"/>
          <w:b/>
          <w:i w:val="false"/>
          <w:caps w:val="false"/>
          <w:smallCaps w:val="false"/>
          <w:sz w:val="20"/>
        </w:rPr>
        <w:t>Section 5.01(C)(i)(2)</w:t>
      </w:r>
      <w:r>
        <w:rPr>
          <w:rFonts w:ascii="Times New Roman;Times;Serif" w:hAnsi="Times New Roman;Times;Serif"/>
          <w:b w:val="false"/>
          <w:i w:val="false"/>
          <w:caps w:val="false"/>
          <w:smallCaps w:val="false"/>
          <w:sz w:val="20"/>
        </w:rPr>
        <w:t xml:space="preserve"> and the definition of “Trading Price.” The initial Bid Solicitation Agent on the Issue Date will be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may appoint any other Person (including any of the Company’s Subsidiaries) to be the Bid Solicitation Agent at any time after the Issue Date without prior notice to the Holders.</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 committee of such board duly authorized to act on behalf of such board.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any day on which the Federal Reserve Bank of New York is authorized or required by law or executive order to close or be closed.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of any Person means any and all shares of, interests in, rights to purchase, warrants or options for, participations in, or other equivalents of, in each case however designated, the equity of such Person, but excluding any debt securities convertible into, or exchangeable for, such equity.</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Equity</w:t>
      </w:r>
      <w:r>
        <w:rPr>
          <w:rFonts w:ascii="Times New Roman;Times;Serif" w:hAnsi="Times New Roman;Times;Serif"/>
          <w:b w:val="false"/>
          <w:i w:val="false"/>
          <w:caps w:val="false"/>
          <w:smallCaps w:val="false"/>
          <w:sz w:val="20"/>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xml:space="preserve">” means the common stock, $0.001 par value per share, of the Company, subject to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w:t>
      </w:r>
    </w:p>
    <w:p>
      <w:pPr>
        <w:pStyle w:val="TextBody"/>
        <w:bidi w:val="0"/>
        <w:spacing w:before="0" w:after="0"/>
        <w:ind w:left="1441"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Person named as such in the first paragraph of this Supplemental Indenture and, subject to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its successors and assigns.</w:t>
      </w:r>
    </w:p>
    <w:p>
      <w:pPr>
        <w:pStyle w:val="TextBody"/>
        <w:bidi w:val="0"/>
        <w:spacing w:before="0" w:after="0"/>
        <w:ind w:left="1441"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request or order signed on behalf of the Company by one (1) of its Officers and delivered to the Trustee.</w:t>
      </w:r>
    </w:p>
    <w:p>
      <w:pPr>
        <w:pStyle w:val="TextBody"/>
        <w:bidi w:val="0"/>
        <w:spacing w:before="0" w:after="0"/>
        <w:ind w:left="1441"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xml:space="preserve">” means, with respect to any Note, the conversion of such note pursuant to </w:t>
      </w:r>
      <w:r>
        <w:rPr>
          <w:rFonts w:ascii="Times New Roman;Times;Serif" w:hAnsi="Times New Roman;Times;Serif"/>
          <w:b/>
          <w:i w:val="false"/>
          <w:caps w:val="false"/>
          <w:smallCaps w:val="false"/>
          <w:sz w:val="20"/>
        </w:rPr>
        <w:t xml:space="preserve">Article 5 </w:t>
      </w:r>
      <w:r>
        <w:rPr>
          <w:rFonts w:ascii="Times New Roman;Times;Serif" w:hAnsi="Times New Roman;Times;Serif"/>
          <w:b w:val="false"/>
          <w:i w:val="false"/>
          <w:caps w:val="false"/>
          <w:smallCaps w:val="false"/>
          <w:sz w:val="20"/>
        </w:rPr>
        <w:t>into Conversion Consideration. The terms “Convert,” “Converted,” “Convertible,” “Converting” and similar capitalized terms have meanings correlative to the foregoing.</w:t>
      </w:r>
    </w:p>
    <w:p>
      <w:pPr>
        <w:pStyle w:val="TextBody"/>
        <w:bidi w:val="0"/>
        <w:spacing w:before="0" w:after="0"/>
        <w:ind w:left="1441"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means, with respect to a Note, the first Business Day on which the requirements set forth in </w:t>
      </w:r>
      <w:r>
        <w:rPr>
          <w:rFonts w:ascii="Times New Roman;Times;Serif" w:hAnsi="Times New Roman;Times;Serif"/>
          <w:b/>
          <w:i w:val="false"/>
          <w:caps w:val="false"/>
          <w:smallCaps w:val="false"/>
          <w:sz w:val="20"/>
        </w:rPr>
        <w:t xml:space="preserve">Section 5.02(A) </w:t>
      </w:r>
      <w:r>
        <w:rPr>
          <w:rFonts w:ascii="Times New Roman;Times;Serif" w:hAnsi="Times New Roman;Times;Serif"/>
          <w:b w:val="false"/>
          <w:i w:val="false"/>
          <w:caps w:val="false"/>
          <w:smallCaps w:val="false"/>
          <w:sz w:val="20"/>
        </w:rPr>
        <w:t xml:space="preserve">to Convert such Note are satisfied, subject to </w:t>
      </w:r>
      <w:r>
        <w:rPr>
          <w:rFonts w:ascii="Times New Roman;Times;Serif" w:hAnsi="Times New Roman;Times;Serif"/>
          <w:b/>
          <w:i w:val="false"/>
          <w:caps w:val="false"/>
          <w:smallCaps w:val="false"/>
          <w:sz w:val="20"/>
        </w:rPr>
        <w:t>Section 5.03(C)</w:t>
      </w:r>
      <w:r>
        <w:rPr>
          <w:rFonts w:ascii="Times New Roman;Times;Serif" w:hAnsi="Times New Roman;Times;Serif"/>
          <w:b w:val="false"/>
          <w:i w:val="false"/>
          <w:caps w:val="false"/>
          <w:smallCaps w:val="false"/>
          <w:sz w:val="20"/>
        </w:rPr>
        <w:t>.</w:t>
      </w:r>
    </w:p>
    <w:p>
      <w:pPr>
        <w:pStyle w:val="TextBody"/>
        <w:bidi w:val="0"/>
        <w:spacing w:before="0" w:after="0"/>
        <w:ind w:left="1441"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xml:space="preserve">” means, as of any time, an amount equal to (A) one thousand dollars ($1,000)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(B) the Conversion Rate in effect at such time.</w:t>
      </w:r>
    </w:p>
    <w:p>
      <w:pPr>
        <w:pStyle w:val="TextBody"/>
        <w:bidi w:val="0"/>
        <w:spacing w:before="0" w:after="0"/>
        <w:ind w:left="1441"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initially means 8.0302 shares of Common Stock per $1,000 principal amount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Conversion Rate is subject to adjustment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whenever this Supplemental Indenture refers to the Conversion Rate as of a particular date without setting forth a particular time on such date, such reference will be deemed to be to the Conversion Rate immediately after the Close of Business on such date.</w:t>
      </w:r>
    </w:p>
    <w:p>
      <w:pPr>
        <w:pStyle w:val="TextBody"/>
        <w:bidi w:val="0"/>
        <w:spacing w:before="0" w:after="0"/>
        <w:ind w:left="1441"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Share</w:t>
      </w:r>
      <w:r>
        <w:rPr>
          <w:rFonts w:ascii="Times New Roman;Times;Serif" w:hAnsi="Times New Roman;Times;Serif"/>
          <w:b w:val="false"/>
          <w:i w:val="false"/>
          <w:caps w:val="false"/>
          <w:smallCaps w:val="false"/>
          <w:sz w:val="20"/>
        </w:rPr>
        <w:t>” means any share of Common Stock issued or issuable upon Conversion of any Note.</w:t>
      </w:r>
    </w:p>
    <w:p>
      <w:pPr>
        <w:pStyle w:val="TextBody"/>
        <w:bidi w:val="0"/>
        <w:spacing w:before="0" w:after="0"/>
        <w:ind w:left="1441"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Cash Amount</w:t>
      </w:r>
      <w:r>
        <w:rPr>
          <w:rFonts w:ascii="Times New Roman;Times;Serif" w:hAnsi="Times New Roman;Times;Serif"/>
          <w:b w:val="false"/>
          <w:i w:val="false"/>
          <w:caps w:val="false"/>
          <w:smallCaps w:val="false"/>
          <w:sz w:val="20"/>
        </w:rPr>
        <w:t>” means, with respect to any VWAP Trading Day, the lesser of (A) the applicable Daily Maximum Cash Amount; and (B) the Daily Conversion Value for such VWAP Trading Day.</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Conversion Value</w:t>
      </w:r>
      <w:r>
        <w:rPr>
          <w:rFonts w:ascii="Times New Roman;Times;Serif" w:hAnsi="Times New Roman;Times;Serif"/>
          <w:b w:val="false"/>
          <w:i w:val="false"/>
          <w:caps w:val="false"/>
          <w:smallCaps w:val="false"/>
          <w:sz w:val="20"/>
        </w:rPr>
        <w:t>” means, with respect to any VWAP Trading Day, one-thirtieth (1/30th) of the product of (A) the Conversion Rate on such VWAP Trading Day; and (B) the Daily VWAP per share of Common Stock on such VWAP Trading Day.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Maximum Cash Amount</w:t>
      </w:r>
      <w:r>
        <w:rPr>
          <w:rFonts w:ascii="Times New Roman;Times;Serif" w:hAnsi="Times New Roman;Times;Serif"/>
          <w:b w:val="false"/>
          <w:i w:val="false"/>
          <w:caps w:val="false"/>
          <w:smallCaps w:val="false"/>
          <w:sz w:val="20"/>
        </w:rPr>
        <w:t>” means, with respect to the Conversion of any Note, the quotient obtained by dividing (A) the Specified Dollar Amount applicable to such Conversion by (B) thirty (30).</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Share Amount</w:t>
      </w:r>
      <w:r>
        <w:rPr>
          <w:rFonts w:ascii="Times New Roman;Times;Serif" w:hAnsi="Times New Roman;Times;Serif"/>
          <w:b w:val="false"/>
          <w:i w:val="false"/>
          <w:caps w:val="false"/>
          <w:smallCaps w:val="false"/>
          <w:sz w:val="20"/>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means, for any VWAP Trading Day, the per share volume-weighted average price of the Common Stock as displayed under the heading “Bloomberg VWAP” on Bloomberg page “CELC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be any of the Underwriters). The Daily VWAP will be determined without regard to after-hours trading or any other trading outside of the regular trading session.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passage of time or both, would be) an Event of Default.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Settlement Method</w:t>
      </w:r>
      <w:r>
        <w:rPr>
          <w:rFonts w:ascii="Times New Roman;Times;Serif" w:hAnsi="Times New Roman;Times;Serif"/>
          <w:b w:val="false"/>
          <w:i w:val="false"/>
          <w:caps w:val="false"/>
          <w:smallCaps w:val="false"/>
          <w:sz w:val="20"/>
        </w:rPr>
        <w:t xml:space="preserve">” means, initially, Physical Settlement;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(x) subject to </w:t>
      </w:r>
      <w:r>
        <w:rPr>
          <w:rFonts w:ascii="Times New Roman;Times;Serif" w:hAnsi="Times New Roman;Times;Serif"/>
          <w:b/>
          <w:i w:val="false"/>
          <w:caps w:val="false"/>
          <w:smallCaps w:val="false"/>
          <w:sz w:val="20"/>
        </w:rPr>
        <w:t>Section 5.03(A)(iii)</w:t>
      </w:r>
      <w:r>
        <w:rPr>
          <w:rFonts w:ascii="Times New Roman;Times;Serif" w:hAnsi="Times New Roman;Times;Serif"/>
          <w:b w:val="false"/>
          <w:i w:val="false"/>
          <w:caps w:val="false"/>
          <w:smallCaps w:val="false"/>
          <w:sz w:val="20"/>
        </w:rPr>
        <w:t xml:space="preserve">, the Company may, from time to time, change the Default Settlement Method, to any Settlement Method that the Company is then permitted to elect, by sending notice of the new Default Settlement Method to the Holders, the Trustee and the Conversion Agent (if other than the Trustee); (y) the Default Settlement Method will be subject to </w:t>
      </w:r>
      <w:r>
        <w:rPr>
          <w:rFonts w:ascii="Times New Roman;Times;Serif" w:hAnsi="Times New Roman;Times;Serif"/>
          <w:b/>
          <w:i w:val="false"/>
          <w:caps w:val="false"/>
          <w:smallCaps w:val="false"/>
          <w:sz w:val="20"/>
        </w:rPr>
        <w:t>Section 5.03(A)(ii)</w:t>
      </w:r>
      <w:r>
        <w:rPr>
          <w:rFonts w:ascii="Times New Roman;Times;Serif" w:hAnsi="Times New Roman;Times;Serif"/>
          <w:b w:val="false"/>
          <w:i w:val="false"/>
          <w:caps w:val="false"/>
          <w:smallCaps w:val="false"/>
          <w:sz w:val="20"/>
        </w:rPr>
        <w:t xml:space="preserve">; and (z) no such change to the Default Settlement Method will affect any Settlement Method theretofore elected (or deemed to be elected) with respect to any Note pursuant to the Indenture (including pursuant to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The Depository Trust Company or its successor.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 Participant</w:t>
      </w:r>
      <w:r>
        <w:rPr>
          <w:rFonts w:ascii="Times New Roman;Times;Serif" w:hAnsi="Times New Roman;Times;Serif"/>
          <w:b w:val="false"/>
          <w:i w:val="false"/>
          <w:caps w:val="false"/>
          <w:smallCaps w:val="false"/>
          <w:sz w:val="20"/>
        </w:rPr>
        <w:t>” means any member of, or participant in, the Depositary.</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 Procedures</w:t>
      </w:r>
      <w:r>
        <w:rPr>
          <w:rFonts w:ascii="Times New Roman;Times;Serif" w:hAnsi="Times New Roman;Times;Serif"/>
          <w:b w:val="false"/>
          <w:i w:val="false"/>
          <w:caps w:val="false"/>
          <w:smallCaps w:val="false"/>
          <w:sz w:val="20"/>
        </w:rPr>
        <w:t>” means, with respect to any Conversion, transfer, exchange or other transaction involving a Global Note or any beneficial interest therein, the rules and procedures of the Depositary applicable to such Conversion, transfer, exchange or transaction.</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in relation to a stock split or stock combination of the Common Stock, means the first date on which the shares of Common Stock trade on the relevant stock exchange, regular way, reflecting the relevant stock split or stock combination, as applicable.</w:t>
      </w:r>
    </w:p>
    <w:p>
      <w:pPr>
        <w:pStyle w:val="TextBody"/>
        <w:bidi w:val="0"/>
        <w:spacing w:before="0" w:after="0"/>
        <w:ind w:left="1441" w:right="0" w:firstLine="719"/>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Ex-Dividend Date</w:t>
      </w:r>
      <w:r>
        <w:rPr>
          <w:rFonts w:ascii="Times New Roman;Times;Serif" w:hAnsi="Times New Roman;Times;Serif"/>
          <w:b w:val="false"/>
          <w:i w:val="false"/>
          <w:caps w:val="false"/>
          <w:smallCaps w:val="false"/>
          <w:sz w:val="20"/>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Exempted Fundamental Change</w:t>
      </w:r>
      <w:r>
        <w:rPr>
          <w:rFonts w:ascii="Times New Roman;Times;Serif" w:hAnsi="Times New Roman;Times;Serif"/>
          <w:b w:val="false"/>
          <w:i w:val="false"/>
          <w:caps w:val="false"/>
          <w:smallCaps w:val="false"/>
          <w:sz w:val="20"/>
        </w:rPr>
        <w:t xml:space="preserve">” means any Fundamental Change with respect to which, in accordance with </w:t>
      </w:r>
      <w:r>
        <w:rPr>
          <w:rFonts w:ascii="Times New Roman;Times;Serif" w:hAnsi="Times New Roman;Times;Serif"/>
          <w:b/>
          <w:i w:val="false"/>
          <w:caps w:val="false"/>
          <w:smallCaps w:val="false"/>
          <w:sz w:val="20"/>
        </w:rPr>
        <w:t>Section 4.02(I)</w:t>
      </w:r>
      <w:r>
        <w:rPr>
          <w:rFonts w:ascii="Times New Roman;Times;Serif" w:hAnsi="Times New Roman;Times;Serif"/>
          <w:b w:val="false"/>
          <w:i w:val="false"/>
          <w:caps w:val="false"/>
          <w:smallCaps w:val="false"/>
          <w:sz w:val="20"/>
        </w:rPr>
        <w:t>, the Company does not offer to repurchase any Notes.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w:t>
      </w:r>
      <w:r>
        <w:rPr>
          <w:rFonts w:ascii="Times New Roman;Times;Serif" w:hAnsi="Times New Roman;Times;Serif"/>
          <w:b w:val="false"/>
          <w:i w:val="false"/>
          <w:caps w:val="false"/>
          <w:smallCaps w:val="false"/>
          <w:sz w:val="20"/>
        </w:rPr>
        <w:t>” means any of the following events:</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or “group” (within the meaning of Section 13(d)(3) of the Exchange Act), other than the Company or its Wholly Owned Subsidiaries, or its or their respective employee benefit plans, files any report with the SEC indicating that such person or group has become the direct or indirect “beneficial owner” (as defined below) of shares of the Common Stock representing more than fifty percent (50%) of the voting power of all of the Common Stock;</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Company’s stockholders approve any plan or proposal for the liquidation or dissolution of the Company;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Common Stock ceases to be listed on any of the New York Stock Exchange, the Nasdaq Capital Market, the Nasdaq Global Market or the Nasdaq Global Select Market (or any of their respective successors);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transaction or event described in </w:t>
      </w:r>
      <w:r>
        <w:rPr>
          <w:rFonts w:ascii="Times New Roman;Times;Serif" w:hAnsi="Times New Roman;Times;Serif"/>
          <w:b/>
          <w:i w:val="false"/>
          <w:caps w:val="false"/>
          <w:smallCaps w:val="false"/>
          <w:sz w:val="20"/>
        </w:rPr>
        <w:t xml:space="preserve">clause (A)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the Nasdaq Capital Market,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pStyle w:val="TextBody"/>
        <w:bidi w:val="0"/>
        <w:spacing w:before="0" w:after="0"/>
        <w:ind w:left="144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this definition, (x) any transaction or event described in both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i w:val="false"/>
          <w:caps w:val="false"/>
          <w:smallCaps w:val="false"/>
          <w:sz w:val="20"/>
        </w:rPr>
        <w:t xml:space="preserve">clause (B)(i)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 xml:space="preserve">above (without regard to the proviso in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will be deemed to occur solely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above (subject to such proviso); and (y) whether a Person is a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whether shares are “</w:t>
      </w:r>
      <w:r>
        <w:rPr>
          <w:rFonts w:ascii="Times New Roman;Times;Serif" w:hAnsi="Times New Roman;Times;Serif"/>
          <w:b/>
          <w:i w:val="false"/>
          <w:caps w:val="false"/>
          <w:smallCaps w:val="false"/>
          <w:sz w:val="20"/>
        </w:rPr>
        <w:t>beneficially owned</w:t>
      </w:r>
      <w:r>
        <w:rPr>
          <w:rFonts w:ascii="Times New Roman;Times;Serif" w:hAnsi="Times New Roman;Times;Serif"/>
          <w:b w:val="false"/>
          <w:i w:val="false"/>
          <w:caps w:val="false"/>
          <w:smallCaps w:val="false"/>
          <w:sz w:val="20"/>
        </w:rPr>
        <w:t>,” and percentage beneficial ownership, will be determined in accordance with Rule 13d-3 under the Exchange Act.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references to the “Common Stock” and the Company’s “Common Equity” in this definition will be subject to </w:t>
      </w:r>
      <w:r>
        <w:rPr>
          <w:rFonts w:ascii="Times New Roman;Times;Serif" w:hAnsi="Times New Roman;Times;Serif"/>
          <w:b/>
          <w:i w:val="false"/>
          <w:caps w:val="false"/>
          <w:smallCaps w:val="false"/>
          <w:sz w:val="20"/>
        </w:rPr>
        <w:t>Section 5.09(A)(1)</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means the date fixed for the repurchase of any Notes by the Company pursuant to a Repurchase Upon Fundamental Change.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xml:space="preserve">” means a notice (including a notice substantially in the form of the “Fundamental Change Repurchase Notice”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containing the information, or otherwise complying with the requirements, set forth in </w:t>
      </w:r>
      <w:r>
        <w:rPr>
          <w:rFonts w:ascii="Times New Roman;Times;Serif" w:hAnsi="Times New Roman;Times;Serif"/>
          <w:b/>
          <w:i w:val="false"/>
          <w:caps w:val="false"/>
          <w:smallCaps w:val="false"/>
          <w:sz w:val="20"/>
        </w:rPr>
        <w:t xml:space="preserve">Section 4.02(F)(i)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Section 4.02(F)(ii)</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xml:space="preserve">” means the cash price payable by the Company to repurchase any Note upon its Repurchase Upon Fundamental Change, calculated pursuant to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xml:space="preserve">” means a Note that is represented by a certificate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registered in the name of the Depositary or its nominee, duly executed by the Company and authenticated by the Trustee, and deposited with the Trustee, as custodian for the Depositary.</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Note Legend</w:t>
      </w:r>
      <w:r>
        <w:rPr>
          <w:rFonts w:ascii="Times New Roman;Times;Serif" w:hAnsi="Times New Roman;Times;Serif"/>
          <w:b w:val="false"/>
          <w:i w:val="false"/>
          <w:caps w:val="false"/>
          <w:smallCaps w:val="false"/>
          <w:sz w:val="20"/>
        </w:rPr>
        <w:t xml:space="preserve">” means a legend substantially in the form set forth in </w:t>
      </w:r>
      <w:r>
        <w:rPr>
          <w:rFonts w:ascii="Times New Roman;Times;Serif" w:hAnsi="Times New Roman;Times;Serif"/>
          <w:b/>
          <w:i w:val="false"/>
          <w:caps w:val="false"/>
          <w:smallCaps w:val="false"/>
          <w:sz w:val="20"/>
        </w:rPr>
        <w:t>Exhibit B-1</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 person in whose name a Note is registered on the Registrar’s books.</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the Base Indenture, as amended by this Supplemental Indenture, and as the same may be further amended or supplemented from time to time with respect to the Notes.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with respect to a Note, notwithstanding anything to the contrary in Section 1.01 of the Base Indenture, each February 1 and August 1 of each year, commencing on February 1, 2027 (or such other date specified in the certificate representing such Note). For the avoidance of doubt, the Maturity Date is an Interest Payment Date.</w:t>
      </w:r>
    </w:p>
    <w:p>
      <w:pPr>
        <w:pStyle w:val="TextBody"/>
        <w:bidi w:val="0"/>
        <w:spacing w:before="0" w:after="0"/>
        <w:ind w:left="1441"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 Date</w:t>
      </w:r>
      <w:r>
        <w:rPr>
          <w:rFonts w:ascii="Times New Roman;Times;Serif" w:hAnsi="Times New Roman;Times;Serif"/>
          <w:b w:val="false"/>
          <w:i w:val="false"/>
          <w:caps w:val="false"/>
          <w:smallCaps w:val="false"/>
          <w:sz w:val="20"/>
        </w:rPr>
        <w:t>” means June 8, 2026.</w:t>
      </w:r>
    </w:p>
    <w:p>
      <w:pPr>
        <w:pStyle w:val="TextBody"/>
        <w:bidi w:val="0"/>
        <w:spacing w:before="0" w:after="0"/>
        <w:ind w:left="2161"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be any of the Underwriters.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determined without regard to after-hours trading or any other trading outside of the regular trading session hours. Neither the Trustee nor the Conversion Agent will have any duty to determine the Last Reported Sale Price.</w:t>
      </w:r>
    </w:p>
    <w:p>
      <w:pPr>
        <w:pStyle w:val="TextBody"/>
        <w:bidi w:val="0"/>
        <w:spacing w:before="0" w:after="0"/>
        <w:ind w:left="1441"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w:t>
      </w:r>
      <w:r>
        <w:rPr>
          <w:rFonts w:ascii="Times New Roman;Times;Serif" w:hAnsi="Times New Roman;Times;Serif"/>
          <w:b w:val="false"/>
          <w:i w:val="false"/>
          <w:caps w:val="false"/>
          <w:smallCaps w:val="false"/>
          <w:sz w:val="20"/>
        </w:rPr>
        <w:t xml:space="preserve">” means (A) a Fundamental Change (determined after giving effect to the proviso immediately after </w:t>
      </w:r>
      <w:r>
        <w:rPr>
          <w:rFonts w:ascii="Times New Roman;Times;Serif" w:hAnsi="Times New Roman;Times;Serif"/>
          <w:b/>
          <w:i w:val="false"/>
          <w:caps w:val="false"/>
          <w:smallCaps w:val="false"/>
          <w:sz w:val="20"/>
        </w:rPr>
        <w:t>clause (D)</w:t>
      </w:r>
      <w:r>
        <w:rPr>
          <w:rFonts w:ascii="Times New Roman;Times;Serif" w:hAnsi="Times New Roman;Times;Serif"/>
          <w:b w:val="false"/>
          <w:i w:val="false"/>
          <w:caps w:val="false"/>
          <w:smallCaps w:val="false"/>
          <w:sz w:val="20"/>
        </w:rPr>
        <w:t xml:space="preserve"> of the definition thereof, but without regard to the proviso to </w:t>
      </w:r>
      <w:r>
        <w:rPr>
          <w:rFonts w:ascii="Times New Roman;Times;Serif" w:hAnsi="Times New Roman;Times;Serif"/>
          <w:b/>
          <w:i w:val="false"/>
          <w:caps w:val="false"/>
          <w:smallCaps w:val="false"/>
          <w:sz w:val="20"/>
        </w:rPr>
        <w:t>clause (B)(ii)</w:t>
      </w:r>
      <w:r>
        <w:rPr>
          <w:rFonts w:ascii="Times New Roman;Times;Serif" w:hAnsi="Times New Roman;Times;Serif"/>
          <w:b w:val="false"/>
          <w:i w:val="false"/>
          <w:caps w:val="false"/>
          <w:smallCaps w:val="false"/>
          <w:sz w:val="20"/>
        </w:rPr>
        <w:t xml:space="preserve"> of such definition); or (B) the sending of a Redemption Notice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sending of a Redemption Notice will constitute a Make-Whole Fundamental Change only with respect to the Notes called (or deemed, pursuant to </w:t>
      </w:r>
      <w:r>
        <w:rPr>
          <w:rFonts w:ascii="Times New Roman;Times;Serif" w:hAnsi="Times New Roman;Times;Serif"/>
          <w:b/>
          <w:i w:val="false"/>
          <w:caps w:val="false"/>
          <w:smallCaps w:val="false"/>
          <w:sz w:val="20"/>
        </w:rPr>
        <w:t>Section 4.03(I)</w:t>
      </w:r>
      <w:r>
        <w:rPr>
          <w:rFonts w:ascii="Times New Roman;Times;Serif" w:hAnsi="Times New Roman;Times;Serif"/>
          <w:b w:val="false"/>
          <w:i w:val="false"/>
          <w:caps w:val="false"/>
          <w:smallCaps w:val="false"/>
          <w:sz w:val="20"/>
        </w:rPr>
        <w:t>, to be called) for Redemption pursuant to such Redemption Notice and not with respect to any other Notes.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 Conversion Period</w:t>
      </w:r>
      <w:r>
        <w:rPr>
          <w:rFonts w:ascii="Times New Roman;Times;Serif" w:hAnsi="Times New Roman;Times;Serif"/>
          <w:b w:val="false"/>
          <w:i w:val="false"/>
          <w:caps w:val="false"/>
          <w:smallCaps w:val="false"/>
          <w:sz w:val="20"/>
        </w:rPr>
        <w:t>” has the following meaning:</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case of a Make-Whole Fundamental Change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of the definition thereof, the period from, and including, the Make-Whole Fundamental Change Effective Date of such Make-Whole Fundamental Change to, and including, the thirty-fifth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a Make-Whole Fundamental Change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the definition thereof, the period from, and including, the Redemption Notice Date for the related Redemption to, and including, the Business Day immediately before the related Redemption Date;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Conversion Date for the Conversion of a Note that has been called (or deemed, pursuant to </w:t>
      </w:r>
      <w:r>
        <w:rPr>
          <w:rFonts w:ascii="Times New Roman;Times;Serif" w:hAnsi="Times New Roman;Times;Serif"/>
          <w:b/>
          <w:i w:val="false"/>
          <w:caps w:val="false"/>
          <w:smallCaps w:val="false"/>
          <w:sz w:val="20"/>
        </w:rPr>
        <w:t>Section 4.03(I)</w:t>
      </w:r>
      <w:r>
        <w:rPr>
          <w:rFonts w:ascii="Times New Roman;Times;Serif" w:hAnsi="Times New Roman;Times;Serif"/>
          <w:b w:val="false"/>
          <w:i w:val="false"/>
          <w:caps w:val="false"/>
          <w:smallCaps w:val="false"/>
          <w:sz w:val="20"/>
        </w:rPr>
        <w:t xml:space="preserve">, to be called) for Redemption occurs during the Make-Whole Fundamental Change Conversion Period for both a Make-Whole Fundamental Change occurring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of the definition of “Make-Whole Fundamental Change” and a Make-Whole Fundamental Change resulting from such Redemption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such definition, then, notwithstanding anything to the contrary in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pStyle w:val="TextBody"/>
        <w:bidi w:val="0"/>
        <w:spacing w:before="0" w:after="0"/>
        <w:ind w:left="1438"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 Effective Date</w:t>
      </w:r>
      <w:r>
        <w:rPr>
          <w:rFonts w:ascii="Times New Roman;Times;Serif" w:hAnsi="Times New Roman;Times;Serif"/>
          <w:b w:val="false"/>
          <w:i w:val="false"/>
          <w:caps w:val="false"/>
          <w:smallCaps w:val="false"/>
          <w:sz w:val="20"/>
        </w:rPr>
        <w:t xml:space="preserve">” means (A) with respect to a Make-Whole Fundamental Change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of the definition thereof, the date on which such Make-Whole Fundamental Change occurs or becomes effective; and (B) with respect to a Make-Whole Fundamental Change pursuant to </w:t>
      </w:r>
      <w:r>
        <w:rPr>
          <w:rFonts w:ascii="Times New Roman;Times;Serif" w:hAnsi="Times New Roman;Times;Serif"/>
          <w:b/>
          <w:i w:val="false"/>
          <w:caps w:val="false"/>
          <w:smallCaps w:val="false"/>
          <w:sz w:val="20"/>
        </w:rPr>
        <w:t xml:space="preserve">clause (B) </w:t>
      </w:r>
      <w:r>
        <w:rPr>
          <w:rFonts w:ascii="Times New Roman;Times;Serif" w:hAnsi="Times New Roman;Times;Serif"/>
          <w:b w:val="false"/>
          <w:i w:val="false"/>
          <w:caps w:val="false"/>
          <w:smallCaps w:val="false"/>
          <w:sz w:val="20"/>
        </w:rPr>
        <w:t>of the definition thereof, the applicable Redemption Notice Date.</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Market Disruption Event</w:t>
      </w:r>
      <w:r>
        <w:rPr>
          <w:rFonts w:ascii="Times New Roman;Times;Serif" w:hAnsi="Times New Roman;Times;Serif"/>
          <w:b w:val="false"/>
          <w:i w:val="false"/>
          <w:caps w:val="false"/>
          <w:smallCaps w:val="false"/>
          <w:sz w:val="20"/>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August 1, 2032.</w:t>
      </w:r>
    </w:p>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Non-Affiliate Legend</w:t>
      </w:r>
      <w:r>
        <w:rPr>
          <w:rFonts w:ascii="Times New Roman;Times;Serif" w:hAnsi="Times New Roman;Times;Serif"/>
          <w:b w:val="false"/>
          <w:i w:val="false"/>
          <w:caps w:val="false"/>
          <w:smallCaps w:val="false"/>
          <w:sz w:val="20"/>
        </w:rPr>
        <w:t xml:space="preserve">” means a legend substantially in the form set forth in </w:t>
      </w:r>
      <w:r>
        <w:rPr>
          <w:rFonts w:ascii="Times New Roman;Times;Serif" w:hAnsi="Times New Roman;Times;Serif"/>
          <w:b/>
          <w:i w:val="false"/>
          <w:caps w:val="false"/>
          <w:smallCaps w:val="false"/>
          <w:sz w:val="20"/>
        </w:rPr>
        <w:t>Exhibit B-2</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 Agent</w:t>
      </w:r>
      <w:r>
        <w:rPr>
          <w:rFonts w:ascii="Times New Roman;Times;Serif" w:hAnsi="Times New Roman;Times;Serif"/>
          <w:b w:val="false"/>
          <w:i w:val="false"/>
          <w:caps w:val="false"/>
          <w:smallCaps w:val="false"/>
          <w:sz w:val="20"/>
        </w:rPr>
        <w:t>” means any Registrar, Paying Agent or Conversion Agent.</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means the 0.250% Convertible Senior Notes due 2032 issued by the Company pursuant to the Indenture.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Observation Period</w:t>
      </w:r>
      <w:r>
        <w:rPr>
          <w:rFonts w:ascii="Times New Roman;Times;Serif" w:hAnsi="Times New Roman;Times;Serif"/>
          <w:b w:val="false"/>
          <w:i w:val="false"/>
          <w:caps w:val="false"/>
          <w:smallCaps w:val="false"/>
          <w:sz w:val="20"/>
        </w:rPr>
        <w:t xml:space="preserve">” means, with respect to any Note to be Converted, (A) subject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below, if the Conversion Date for such Note occurs before May 1, 2032, the thirty (30) consecutive VWAP Trading Days beginning on, and including, the second (2nd) VWAP Trading Day immediately after such Conversion Date; (B) if such Conversion Date occurs on or after the date the Company has sent a Redemption Notice calling all or any Notes for Redemption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 xml:space="preserve"> and on or before the Business Day before the related Redemption Date, the thirty (30) consecutive VWAP Trading Days beginning on, and including, the thirty-first (31st) Scheduled Trading Day immediately before such Redemption Date; and (C) subject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above, if such Conversion Date occurs on or after May 1, 2032, the thirty (30) consecutive VWAP Trading Days beginning on, and including, the thirty-first (31st) Scheduled Trading Day immediately before the Maturity Date.</w:t>
      </w:r>
    </w:p>
    <w:p>
      <w:pPr>
        <w:pStyle w:val="TextBody"/>
        <w:bidi w:val="0"/>
        <w:spacing w:before="0" w:after="0"/>
        <w:ind w:left="1438"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the Indenture.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Physical Note</w:t>
      </w:r>
      <w:r>
        <w:rPr>
          <w:rFonts w:ascii="Times New Roman;Times;Serif" w:hAnsi="Times New Roman;Times;Serif"/>
          <w:b w:val="false"/>
          <w:i w:val="false"/>
          <w:caps w:val="false"/>
          <w:smallCaps w:val="false"/>
          <w:sz w:val="20"/>
        </w:rPr>
        <w:t xml:space="preserve">” means a Note (other than a Global Note) that is represented by a certificate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registered in the name of the Holder of such Note and duly executed by the Company and authenticated by the Trustee.</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Successor Entity</w:t>
      </w:r>
      <w:r>
        <w:rPr>
          <w:rFonts w:ascii="Times New Roman;Times;Serif" w:hAnsi="Times New Roman;Times;Serif"/>
          <w:b w:val="false"/>
          <w:i w:val="false"/>
          <w:caps w:val="false"/>
          <w:smallCaps w:val="false"/>
          <w:sz w:val="20"/>
        </w:rPr>
        <w:t xml:space="preserve">” means, with respect to a Business Combination Event, a corporation;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 if such Business Combination Event is an Exempted Fundamental Change, a limited liability company, limited partnership or other similar entity will also constitute a Qualified Successor Entity with respect to such Business Combination Event; and (ii) a limited liability company or limited partnership that is the resulting, surviving or transferee Person of such Business Combination Event will also constitute a Qualified Successor Entity with respect to such Business Combination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this clause (ii) all of the following conditions are satisfied: (1) either (x) such limited liability company or limited partnership is treated as a corporation or is a direct or indirect, Wholly Owned Subsidiary of, and disregarded as an entity separate from, a corporation, in each case for U.S. federal income tax purposes; or (y) the Company has received an opinion of a nationally recognized tax counsel to the effect that such Business Combination Event will not be treated as an exchange under Section 1001 of the Internal Revenue Code of 1986, as amended, for Holders or beneficial owners of the Notes; (2) such Business Combination Event constitutes a Common Stock Change Event whose Reference Property consists solely of any combination of cash in U.S. dollars and shares of common stock or other corporate Common Equity interests of an entity that is (x) treated as a corporation for U.S. federal income tax purposes; (y) duly organized and existing under the laws of the United States of America, any State thereof or the District of Columbia; and (z) a direct or indirect parent of such limited liability company or limited partnership; and (3) if such limited liability company or limited partnership is disregarded as separate from its owner for U.S. federal income tax purposes, its regarded owner for those purposes is an entity described in clause (ii)(2).</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w:t>
      </w:r>
      <w:r>
        <w:rPr>
          <w:rFonts w:ascii="Times New Roman;Times;Serif" w:hAnsi="Times New Roman;Times;Serif"/>
          <w:b w:val="false"/>
          <w:i w:val="false"/>
          <w:caps w:val="false"/>
          <w:smallCaps w:val="false"/>
          <w:sz w:val="20"/>
        </w:rPr>
        <w:t xml:space="preserve">” means the repurchase of any Note by the Company pursuant to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xml:space="preserve">” means the date fixed, pursuant to </w:t>
      </w:r>
      <w:r>
        <w:rPr>
          <w:rFonts w:ascii="Times New Roman;Times;Serif" w:hAnsi="Times New Roman;Times;Serif"/>
          <w:b/>
          <w:i w:val="false"/>
          <w:caps w:val="false"/>
          <w:smallCaps w:val="false"/>
          <w:sz w:val="20"/>
        </w:rPr>
        <w:t>Section 4.03(D)</w:t>
      </w:r>
      <w:r>
        <w:rPr>
          <w:rFonts w:ascii="Times New Roman;Times;Serif" w:hAnsi="Times New Roman;Times;Serif"/>
          <w:b w:val="false"/>
          <w:i w:val="false"/>
          <w:caps w:val="false"/>
          <w:smallCaps w:val="false"/>
          <w:sz w:val="20"/>
        </w:rPr>
        <w:t>, for the settlement of the repurchase of any Notes by the Company pursuant to a Redemption.</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Notice Date</w:t>
      </w:r>
      <w:r>
        <w:rPr>
          <w:rFonts w:ascii="Times New Roman;Times;Serif" w:hAnsi="Times New Roman;Times;Serif"/>
          <w:b w:val="false"/>
          <w:i w:val="false"/>
          <w:caps w:val="false"/>
          <w:smallCaps w:val="false"/>
          <w:sz w:val="20"/>
        </w:rPr>
        <w:t xml:space="preserve">” means, with respect to a Redemption, the date on which the Company sends the Redemption Notice for such Redemption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xml:space="preserve">” means the cash price payable by the Company to redeem any Note upon its Redemption, calculated pursuant to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Regular Record Date</w:t>
      </w:r>
      <w:r>
        <w:rPr>
          <w:rFonts w:ascii="Times New Roman;Times;Serif" w:hAnsi="Times New Roman;Times;Serif"/>
          <w:b w:val="false"/>
          <w:i w:val="false"/>
          <w:caps w:val="false"/>
          <w:smallCaps w:val="false"/>
          <w:sz w:val="20"/>
        </w:rPr>
        <w:t>” has the following meaning with respect to an Interest Payment Date: (A) if such Interest Payment Date occurs on February 1, the immediately preceding January 15 (whether or not a Business Day); and (B) if such Interest Payment Date occurs on August 1, the immediately preceding July 15 (whether or not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Repurchase Upon Fundamental Change</w:t>
      </w:r>
      <w:r>
        <w:rPr>
          <w:rFonts w:ascii="Times New Roman;Times;Serif" w:hAnsi="Times New Roman;Times;Serif"/>
          <w:b w:val="false"/>
          <w:i w:val="false"/>
          <w:caps w:val="false"/>
          <w:smallCaps w:val="false"/>
          <w:sz w:val="20"/>
        </w:rPr>
        <w:t xml:space="preserve">” means the repurchase of any Note by the Company pursuant to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under the Securities Act (or any successor rule thereto), as the same may be amended from time to time.</w:t>
      </w:r>
    </w:p>
    <w:p>
      <w:pPr>
        <w:pStyle w:val="TextBody"/>
        <w:bidi w:val="0"/>
        <w:spacing w:before="0" w:after="0"/>
        <w:ind w:left="1438"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pStyle w:val="TextBody"/>
        <w:bidi w:val="0"/>
        <w:spacing w:before="0" w:after="0"/>
        <w:ind w:left="1438"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means any Note or Conversion Share.</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Method</w:t>
      </w:r>
      <w:r>
        <w:rPr>
          <w:rFonts w:ascii="Times New Roman;Times;Serif" w:hAnsi="Times New Roman;Times;Serif"/>
          <w:b w:val="false"/>
          <w:i w:val="false"/>
          <w:caps w:val="false"/>
          <w:smallCaps w:val="false"/>
          <w:sz w:val="20"/>
        </w:rPr>
        <w:t>” means Cash Settlement, Physical Settlement or Combination Settlement.</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means, with respect to any Person, any Subsidiary of such Person that constitutes a “significant subsidiary” (as defined in Rule 1-02(w) of Regulation S-X under the Exchange Act) of such Person.</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Special Interest</w:t>
      </w:r>
      <w:r>
        <w:rPr>
          <w:rFonts w:ascii="Times New Roman;Times;Serif" w:hAnsi="Times New Roman;Times;Serif"/>
          <w:b w:val="false"/>
          <w:i w:val="false"/>
          <w:caps w:val="false"/>
          <w:smallCaps w:val="false"/>
          <w:sz w:val="20"/>
        </w:rPr>
        <w:t xml:space="preserve">” means any interest that accrues on any Note pursuant to </w:t>
      </w:r>
      <w:r>
        <w:rPr>
          <w:rFonts w:ascii="Times New Roman;Times;Serif" w:hAnsi="Times New Roman;Times;Serif"/>
          <w:b/>
          <w:i w:val="false"/>
          <w:caps w:val="false"/>
          <w:smallCaps w:val="false"/>
          <w:sz w:val="20"/>
        </w:rPr>
        <w:t>Section 7.03</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Dollar Amount</w:t>
      </w:r>
      <w:r>
        <w:rPr>
          <w:rFonts w:ascii="Times New Roman;Times;Serif" w:hAnsi="Times New Roman;Times;Serif"/>
          <w:b w:val="false"/>
          <w:i w:val="false"/>
          <w:caps w:val="false"/>
          <w:smallCaps w:val="false"/>
          <w:sz w:val="20"/>
        </w:rPr>
        <w:t>” means, with respect to the Conversion of a Note to which Combination Settlement applies, the maximum cash amount per $1,000 principal amount of such Note deliverable upon such Conversion (excluding cash in lieu of any fractional share of Common Stock).</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 Price</w:t>
      </w:r>
      <w:r>
        <w:rPr>
          <w:rFonts w:ascii="Times New Roman;Times;Serif" w:hAnsi="Times New Roman;Times;Serif"/>
          <w:b w:val="false"/>
          <w:i w:val="false"/>
          <w:caps w:val="false"/>
          <w:smallCaps w:val="false"/>
          <w:sz w:val="20"/>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the definition of “Fundamental Change,” then the Stock Price is the amount of cash paid per share of Common Stock in such Make-Whole 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w:t>
      </w:r>
    </w:p>
    <w:p>
      <w:pPr>
        <w:pStyle w:val="TextBody"/>
        <w:bidi w:val="0"/>
        <w:spacing w:before="0" w:after="0"/>
        <w:ind w:left="1438"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pStyle w:val="TextBody"/>
        <w:bidi w:val="0"/>
        <w:spacing w:before="0" w:after="0"/>
        <w:ind w:left="1438"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means this Second Supplemental Indenture, as amended or supplemented from time to time.</w:t>
      </w:r>
    </w:p>
    <w:p>
      <w:pPr>
        <w:pStyle w:val="TextBody"/>
        <w:bidi w:val="0"/>
        <w:spacing w:before="0" w:after="0"/>
        <w:ind w:left="1440" w:right="0" w:firstLine="719"/>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Price</w:t>
      </w:r>
      <w:r>
        <w:rPr>
          <w:rFonts w:ascii="Times New Roman;Times;Serif" w:hAnsi="Times New Roman;Times;Serif"/>
          <w:b w:val="false"/>
          <w:i w:val="false"/>
          <w:caps w:val="false"/>
          <w:smallCaps w:val="false"/>
          <w:sz w:val="20"/>
        </w:rPr>
        <w:t xml:space="preserve">” of the Notes on any Trading Day means the average of the secondary market bid quotations, expressed as a cash amount per $1,000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which may include any of the Underwriters;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w:t>
      </w:r>
    </w:p>
    <w:p>
      <w:pPr>
        <w:pStyle w:val="TextBody"/>
        <w:bidi w:val="0"/>
        <w:spacing w:before="0" w:after="0"/>
        <w:ind w:left="1438"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means the U.S. Trust Indenture Act of 1939, as amended.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named as such in the first paragraph of this Supplemental Indenture until a successor replaces it in accordance with the provisions of the Indenture and, thereafter, means such successor.</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has the meaning set forth in the Underwriting Agreement.</w:t>
      </w:r>
    </w:p>
    <w:p>
      <w:pPr>
        <w:pStyle w:val="TextBody"/>
        <w:bidi w:val="0"/>
        <w:spacing w:before="0" w:after="0"/>
        <w:ind w:left="216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means that certain Underwriting Agreement, dated June 3, 2026, among the Company and Jefferies LLC, J.P. Morgan Securities LLC, TD Securities (USA) LLC and Guggenheim Securities, LLC, as the representatives of the several Underwriters.</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 Market Disruption Event</w:t>
      </w:r>
      <w:r>
        <w:rPr>
          <w:rFonts w:ascii="Times New Roman;Times;Serif" w:hAnsi="Times New Roman;Times;Serif"/>
          <w:b w:val="false"/>
          <w:i w:val="false"/>
          <w:caps w:val="false"/>
          <w:smallCaps w:val="false"/>
          <w:sz w:val="20"/>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 Trading Day</w:t>
      </w:r>
      <w:r>
        <w:rPr>
          <w:rFonts w:ascii="Times New Roman;Times;Serif" w:hAnsi="Times New Roman;Times;Serif"/>
          <w:b w:val="false"/>
          <w:i w:val="false"/>
          <w:caps w:val="false"/>
          <w:smallCaps w:val="false"/>
          <w:sz w:val="20"/>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 Owned Subsidiary</w:t>
      </w:r>
      <w:r>
        <w:rPr>
          <w:rFonts w:ascii="Times New Roman;Times;Serif" w:hAnsi="Times New Roman;Times;Serif"/>
          <w:b w:val="false"/>
          <w:i w:val="false"/>
          <w:caps w:val="false"/>
          <w:smallCaps w:val="false"/>
          <w:sz w:val="20"/>
        </w:rPr>
        <w:t>” of a Person means any Subsidiary of such Person all of the outstanding Capital Stock or other ownership interests of which (other than directors’ qualifying shares) are owned by such Person or one or more Wholly Owned Subsidiaries of such Person.</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1.02 </w:t>
      </w:r>
      <w:r>
        <w:rPr>
          <w:rFonts w:ascii="Times New Roman;Times;Serif" w:hAnsi="Times New Roman;Times;Serif"/>
          <w:b/>
          <w:i w:val="false"/>
          <w:smallCaps/>
          <w:sz w:val="20"/>
        </w:rPr>
        <w:t>Other Definitions.</w:t>
      </w:r>
    </w:p>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3605"/>
        <w:gridCol w:w="60"/>
        <w:gridCol w:w="1715"/>
      </w:tblGrid>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in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w:t>
            </w:r>
          </w:p>
        </w:tc>
      </w:tr>
      <w:tr>
        <w:trPr/>
        <w:tc>
          <w:tcPr>
            <w:tcW w:w="3605" w:type="dxa"/>
            <w:tcBorders>
              <w:top w:val="single" w:sz="8" w:space="0" w:color="000000"/>
            </w:tcBorders>
            <w:shd w:fill="FFFFFF" w:val="clear"/>
            <w:tcMar>
              <w:top w:w="28"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top w:val="single" w:sz="8" w:space="0" w:color="000000"/>
            </w:tcBorders>
            <w:shd w:fill="FFFFFF" w:val="clear"/>
            <w:tcMar>
              <w:top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5.07(A)</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Event”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6.01(A)</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Settlement”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5.03(A)</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Combination Settlement”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5.03(A)</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Stock Change Event”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5.09(A)</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Agent”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2.05(A)</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Consideration”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5.03(B)</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2.04(B)</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Defaulted Amount”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2.04(B)</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7.01(A)</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Expiration Date”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5.05(A)(v)</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Expiration Time”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5.05(A)(v)</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Notice”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4.02(E)</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Right”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4.02(A)</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2.02(A)</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Measurement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5.01(C)(i)(2)</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Partial Redemption Limitation”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4.03(B)</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Paying Agent”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2.05(A)</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Physical Settlement”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5.03(A)</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Notice”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4.03(F)</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Reference Property”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5.09(A)</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Reference Property Unit”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5.09(A)</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2.05(B)</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3755"/>
        <w:gridCol w:w="60"/>
        <w:gridCol w:w="1835"/>
      </w:tblGrid>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Registrar”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2.05(A)</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Reporting Event of Default”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7.03(A)</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Courts”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10.05</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Spin-Off”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5.05(A)(iii)(2)</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Spin-Off Valuation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5.05(A)(iii)(2)</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Stated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2.04(A)</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Successor Entity”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6.01(A)</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Successor Person”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5.09(A)</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Tender/Exchange Offer Valuation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5.05(A)(v)</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Price Condition”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5.01(C)(i)(2)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1.03 </w:t>
      </w:r>
      <w:r>
        <w:rPr>
          <w:rFonts w:ascii="Times New Roman;Times;Serif" w:hAnsi="Times New Roman;Times;Serif"/>
          <w:b/>
          <w:i w:val="false"/>
          <w:smallCaps/>
          <w:sz w:val="20"/>
        </w:rPr>
        <w:t>Rules of Construction.</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Indenture:</w:t>
      </w:r>
    </w:p>
    <w:p>
      <w:pPr>
        <w:pStyle w:val="TextBody"/>
        <w:bidi w:val="0"/>
        <w:spacing w:before="0" w:after="0"/>
        <w:ind w:left="2159"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“or” is not exclusive;</w:t>
      </w:r>
    </w:p>
    <w:p>
      <w:pPr>
        <w:pStyle w:val="TextBody"/>
        <w:bidi w:val="0"/>
        <w:spacing w:before="0" w:after="0"/>
        <w:ind w:left="2879"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“including” means “including without limitation”;</w:t>
      </w:r>
    </w:p>
    <w:p>
      <w:pPr>
        <w:pStyle w:val="TextBody"/>
        <w:bidi w:val="0"/>
        <w:spacing w:before="0" w:after="0"/>
        <w:ind w:left="2880" w:right="0" w:hanging="721"/>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“will” expresses a command;</w:t>
      </w:r>
    </w:p>
    <w:p>
      <w:pPr>
        <w:pStyle w:val="TextBody"/>
        <w:bidi w:val="0"/>
        <w:spacing w:before="0" w:after="0"/>
        <w:ind w:left="2880" w:right="0" w:hanging="721"/>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“average” of a set of numerical values refers to the arithmetic average of such numerical values;</w:t>
      </w:r>
    </w:p>
    <w:p>
      <w:pPr>
        <w:pStyle w:val="TextBody"/>
        <w:bidi w:val="0"/>
        <w:spacing w:before="0" w:after="0"/>
        <w:ind w:left="2880" w:right="0" w:hanging="721"/>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pStyle w:val="TextBody"/>
        <w:bidi w:val="0"/>
        <w:spacing w:before="0" w:after="0"/>
        <w:ind w:left="1438" w:right="0" w:firstLine="72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words in the singular include the plural and in the plural include the singular, unless the context requires otherwise;</w:t>
      </w:r>
    </w:p>
    <w:p>
      <w:pPr>
        <w:pStyle w:val="TextBody"/>
        <w:bidi w:val="0"/>
        <w:spacing w:before="0" w:after="0"/>
        <w:ind w:left="1438" w:right="0" w:firstLine="72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“herein,” “hereof” and other words of similar import refer to this Supplemental Indenture as a whole and not to any particular Article, Section or other subdivision of this Supplemental Indenture, unless the context requires otherwise;</w:t>
      </w:r>
    </w:p>
    <w:p>
      <w:pPr>
        <w:pStyle w:val="TextBody"/>
        <w:bidi w:val="0"/>
        <w:spacing w:before="0" w:after="0"/>
        <w:ind w:left="1438"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Article, Section, clause or paragraph reference in this Supplemental Indenture that is in bolded typeface refers to the referenced Article, Section, clause or paragraph, as applicable, of this Supplemental Indenture;</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references to currency mean the lawful currency of the United States of America, unless the context requires otherwise;</w:t>
      </w:r>
    </w:p>
    <w:p>
      <w:pPr>
        <w:pStyle w:val="TextBody"/>
        <w:bidi w:val="0"/>
        <w:spacing w:before="0" w:after="0"/>
        <w:ind w:left="1438"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exhibits, schedules and other attachments to this Supplemental Indenture are deemed to form part of the Indenture;</w:t>
      </w:r>
    </w:p>
    <w:p>
      <w:pPr>
        <w:pStyle w:val="TextBody"/>
        <w:bidi w:val="0"/>
        <w:spacing w:before="0" w:after="0"/>
        <w:ind w:left="1438"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extent any provision of this Supplemental Indenture limits, qualifies or conflicts with a provision of the Base Indenture, such provision of this Supplemental Indenture will control; and</w:t>
      </w:r>
    </w:p>
    <w:p>
      <w:pPr>
        <w:pStyle w:val="TextBody"/>
        <w:bidi w:val="0"/>
        <w:spacing w:before="0" w:after="0"/>
        <w:ind w:left="1438"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term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when used with respect to a Note, includes any Default Interest or Special Interest, unless the context requires otherwise.</w:t>
      </w:r>
    </w:p>
    <w:p>
      <w:pPr>
        <w:pStyle w:val="TextBody"/>
        <w:bidi w:val="0"/>
        <w:spacing w:before="0" w:after="0"/>
        <w:ind w:left="1438" w:right="0" w:firstLine="72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Indenture, the following terms of the Trust Indenture Act have the following meanings:</w:t>
      </w:r>
    </w:p>
    <w:p>
      <w:pPr>
        <w:pStyle w:val="TextBody"/>
        <w:bidi w:val="0"/>
        <w:spacing w:before="0" w:after="0"/>
        <w:ind w:left="1440" w:right="0" w:hanging="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0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60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w:t>
            </w:r>
          </w:p>
        </w:tc>
      </w:tr>
    </w:tbl>
    <w:p>
      <w:pPr>
        <w:pStyle w:val="TextBody"/>
        <w:bidi w:val="0"/>
        <w:spacing w:before="0" w:after="0"/>
        <w:ind w:left="3600" w:right="0" w:hanging="720"/>
        <w:jc w:val="left"/>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26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securities</w:t>
            </w:r>
            <w:r>
              <w:rPr>
                <w:rFonts w:ascii="Times New Roman;Times;Serif" w:hAnsi="Times New Roman;Times;Serif"/>
                <w:b w:val="false"/>
                <w:i w:val="false"/>
                <w:caps w:val="false"/>
                <w:smallCaps w:val="false"/>
                <w:sz w:val="20"/>
              </w:rPr>
              <w:t>” means the Notes;</w:t>
            </w:r>
          </w:p>
        </w:tc>
      </w:tr>
    </w:tbl>
    <w:p>
      <w:pPr>
        <w:pStyle w:val="TextBody"/>
        <w:bidi w:val="0"/>
        <w:spacing w:before="0" w:after="0"/>
        <w:ind w:left="3600" w:right="0" w:hanging="72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32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37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security holder</w:t>
            </w:r>
            <w:r>
              <w:rPr>
                <w:rFonts w:ascii="Times New Roman;Times;Serif" w:hAnsi="Times New Roman;Times;Serif"/>
                <w:b w:val="false"/>
                <w:i w:val="false"/>
                <w:caps w:val="false"/>
                <w:smallCaps w:val="false"/>
                <w:sz w:val="20"/>
              </w:rPr>
              <w:t>” means a Holder;</w:t>
            </w:r>
          </w:p>
        </w:tc>
      </w:tr>
    </w:tbl>
    <w:p>
      <w:pPr>
        <w:pStyle w:val="TextBody"/>
        <w:bidi w:val="0"/>
        <w:spacing w:before="0" w:after="0"/>
        <w:ind w:left="3600" w:right="0" w:hanging="72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30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40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to be qualified</w:t>
            </w:r>
            <w:r>
              <w:rPr>
                <w:rFonts w:ascii="Times New Roman;Times;Serif" w:hAnsi="Times New Roman;Times;Serif"/>
                <w:b w:val="false"/>
                <w:i w:val="false"/>
                <w:caps w:val="false"/>
                <w:smallCaps w:val="false"/>
                <w:sz w:val="20"/>
              </w:rPr>
              <w:t>” means the Indenture;</w:t>
            </w:r>
          </w:p>
        </w:tc>
      </w:tr>
    </w:tbl>
    <w:p>
      <w:pPr>
        <w:pStyle w:val="TextBody"/>
        <w:bidi w:val="0"/>
        <w:spacing w:before="0" w:after="0"/>
        <w:ind w:left="3600" w:right="0" w:hanging="72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245"/>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563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trustee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institutional trustee</w:t>
            </w:r>
            <w:r>
              <w:rPr>
                <w:rFonts w:ascii="Times New Roman;Times;Serif" w:hAnsi="Times New Roman;Times;Serif"/>
                <w:b w:val="false"/>
                <w:i w:val="false"/>
                <w:caps w:val="false"/>
                <w:smallCaps w:val="false"/>
                <w:sz w:val="20"/>
              </w:rPr>
              <w:t>” means the Trustee; and</w:t>
            </w:r>
          </w:p>
        </w:tc>
      </w:tr>
    </w:tbl>
    <w:p>
      <w:pPr>
        <w:pStyle w:val="TextBody"/>
        <w:bidi w:val="0"/>
        <w:spacing w:before="0" w:after="0"/>
        <w:ind w:left="3600" w:right="0" w:hanging="72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305"/>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479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obligor</w:t>
            </w:r>
            <w:r>
              <w:rPr>
                <w:rFonts w:ascii="Times New Roman;Times;Serif" w:hAnsi="Times New Roman;Times;Serif"/>
                <w:b w:val="false"/>
                <w:i w:val="false"/>
                <w:caps w:val="false"/>
                <w:smallCaps w:val="false"/>
                <w:sz w:val="20"/>
              </w:rPr>
              <w:t>” on the indenture securities means the Company.</w:t>
            </w:r>
          </w:p>
        </w:tc>
      </w:tr>
    </w:tbl>
    <w:p>
      <w:pPr>
        <w:pStyle w:val="TextBody"/>
        <w:bidi w:val="0"/>
        <w:spacing w:before="0" w:after="0"/>
        <w:ind w:left="360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the Indenture that are defined by the Trust Indenture Act (including by reference to another statute) or the related rules of the SEC, and not defined in the Indenture, have the respective meanings so defined by the Trust Indenture Act or such rules.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1.04 </w:t>
      </w:r>
      <w:r>
        <w:rPr>
          <w:rFonts w:ascii="Times New Roman;Times;Serif" w:hAnsi="Times New Roman;Times;Serif"/>
          <w:b/>
          <w:i w:val="false"/>
          <w:smallCaps/>
          <w:sz w:val="20"/>
        </w:rPr>
        <w:t>Scope of Supplemental Indenture.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supplements the provisions of the Base Indenture, to which provisions reference is hereby made. The changes, modifications and supplements to the Base Indenture effected by this Supplemental Indenture will be applicable only with respect to, and will only govern the terms of, the Notes, which may be issued from time to time, and will not apply to any other Securities that may be issued under the Base Indenture unless a supplemental indenture with respect to such other securities specifically incorporates such changes, modifications and supplements. For all purposes under the Base Indenture, the Notes will constitute a single series of Notes, and with regard to any matter requiring the consent under the Base Indenture of Holders of multiple Series of Notes voting together as a single class, the consent of Holders of the Notes voting as a separate class will also be required and the same threshold will apply. The provisions of this Supplemental Indenture will supersede any conflicting provisions in the Base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2. </w:t>
      </w:r>
      <w:r>
        <w:rPr>
          <w:rFonts w:ascii="Times New Roman;Times;Serif" w:hAnsi="Times New Roman;Times;Serif"/>
          <w:b/>
          <w:i w:val="false"/>
          <w:smallCaps/>
          <w:sz w:val="20"/>
        </w:rPr>
        <w:t>T</w:t>
      </w:r>
      <w:r>
        <w:rPr>
          <w:rFonts w:ascii="Times New Roman;Times;Serif" w:hAnsi="Times New Roman;Times;Serif"/>
          <w:b/>
          <w:i w:val="false"/>
          <w:caps w:val="false"/>
          <w:smallCaps w:val="false"/>
          <w:sz w:val="20"/>
        </w:rPr>
        <w:t xml:space="preserve">HE NOTES </w:t>
      </w:r>
    </w:p>
    <w:p>
      <w:pPr>
        <w:pStyle w:val="TextBody"/>
        <w:bidi w:val="0"/>
        <w:spacing w:before="0" w:after="0"/>
        <w:jc w:val="center"/>
        <w:rPr>
          <w:smallCaps/>
        </w:rPr>
      </w:pPr>
      <w:r>
        <w:rPr>
          <w:small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2.01 </w:t>
      </w:r>
      <w:r>
        <w:rPr>
          <w:rFonts w:ascii="Times New Roman;Times;Serif" w:hAnsi="Times New Roman;Times;Serif"/>
          <w:b/>
          <w:i w:val="false"/>
          <w:smallCaps/>
          <w:sz w:val="20"/>
        </w:rPr>
        <w:t>Form, Dating and Denominations.</w:t>
      </w:r>
    </w:p>
    <w:p>
      <w:pPr>
        <w:pStyle w:val="TextBody"/>
        <w:bidi w:val="0"/>
        <w:spacing w:before="0" w:after="0"/>
        <w:ind w:left="1440" w:right="0" w:firstLine="3326"/>
        <w:jc w:val="left"/>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and the Trustee’s certificate of authentication will be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The Notes will bear the legends required by </w:t>
      </w:r>
      <w:r>
        <w:rPr>
          <w:rFonts w:ascii="Times New Roman;Times;Serif" w:hAnsi="Times New Roman;Times;Serif"/>
          <w:b/>
          <w:i w:val="false"/>
          <w:caps w:val="false"/>
          <w:smallCaps w:val="false"/>
          <w:sz w:val="20"/>
        </w:rPr>
        <w:t>Section 2.08</w:t>
      </w:r>
      <w:r>
        <w:rPr>
          <w:rFonts w:ascii="Times New Roman;Times;Serif" w:hAnsi="Times New Roman;Times;Serif"/>
          <w:b w:val="false"/>
          <w:i w:val="false"/>
          <w:caps w:val="false"/>
          <w:smallCaps w:val="false"/>
          <w:sz w:val="20"/>
        </w:rPr>
        <w:t xml:space="preserve"> and may bear notations, legends or endorsements required by law, stock exchange rule or usage or the Depositary. Each Note will be dated as of the date of its authentication.</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only as provided in Section 2.11 of the Base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in its sole discretion, may permit the exchange of any beneficial interest in a Global Note for one or more Physical Notes at the request of the owner of such beneficial interest.</w:t>
      </w:r>
    </w:p>
    <w:p>
      <w:pPr>
        <w:pStyle w:val="TextBody"/>
        <w:bidi w:val="0"/>
        <w:spacing w:before="0" w:after="0"/>
        <w:ind w:left="1438"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issuable only in registered form without interest coupons and only in Authorized Denominations.</w:t>
      </w:r>
    </w:p>
    <w:p>
      <w:pPr>
        <w:pStyle w:val="TextBody"/>
        <w:bidi w:val="0"/>
        <w:spacing w:before="0" w:after="0"/>
        <w:ind w:left="144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representing a Note will bear a unique registration number that is not affixed to any other certificate representing another outstanding Note.</w:t>
      </w:r>
    </w:p>
    <w:p>
      <w:pPr>
        <w:pStyle w:val="TextBody"/>
        <w:bidi w:val="0"/>
        <w:spacing w:before="0" w:after="0"/>
        <w:ind w:left="1438"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contained in the Notes constitute part of the Indenture, and, to the extent applicable, the Company and the Trustee, by their execution and delivery of this Supplemental Indenture, agree to such terms and to be bound thereby;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the extent that any provision of any Note conflicts with the provisions of the Indenture, the provisions of the Indenture will control for purposes of the Indenture and such Note.</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2.02 INITIAL NOTES AND ADDITIONAL NOTES.</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Initial Notes</w:t>
      </w:r>
      <w:r>
        <w:rPr>
          <w:rFonts w:ascii="Times New Roman;Times;Serif" w:hAnsi="Times New Roman;Times;Serif"/>
          <w:b w:val="false"/>
          <w:i w:val="false"/>
          <w:caps w:val="false"/>
          <w:smallCaps w:val="false"/>
          <w:sz w:val="20"/>
        </w:rPr>
        <w:t>. On the Issue Date, there will be originally issued five hundred seventy five million dollars ($575,000,000) aggregate principal amount of Notes, subject to the provisions of the Indenture (including Section 2.04 of the Base Indenture). Notes issued pursuant to the Underwriting Agreement, and any Notes issued in exchange therefor or in substitution thereof, are referred to in the Indenture as the “</w:t>
      </w:r>
      <w:r>
        <w:rPr>
          <w:rFonts w:ascii="Times New Roman;Times;Serif" w:hAnsi="Times New Roman;Times;Serif"/>
          <w:b/>
          <w:i w:val="false"/>
          <w:caps w:val="false"/>
          <w:smallCaps w:val="false"/>
          <w:sz w:val="20"/>
        </w:rPr>
        <w:t>Initial Notes</w:t>
      </w:r>
      <w:r>
        <w:rPr>
          <w:rFonts w:ascii="Times New Roman;Times;Serif" w:hAnsi="Times New Roman;Times;Serif"/>
          <w:b w:val="false"/>
          <w:i w:val="false"/>
          <w:caps w:val="false"/>
          <w:smallCaps w:val="false"/>
          <w:sz w:val="20"/>
        </w:rPr>
        <w:t>.”</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Additional Notes</w:t>
      </w:r>
      <w:r>
        <w:rPr>
          <w:rFonts w:ascii="Times New Roman;Times;Serif" w:hAnsi="Times New Roman;Times;Serif"/>
          <w:b w:val="false"/>
          <w:i w:val="false"/>
          <w:caps w:val="false"/>
          <w:smallCaps w:val="false"/>
          <w:sz w:val="20"/>
        </w:rPr>
        <w:t xml:space="preserve">. Without the consent of any Holder, the Company may, subject to the provisions of the Indenture (including Section 2.04 of the Base Indenture), originally issue additional Notes with the same terms as the Initial Notes (except, to the extent applicable, with respect to the date on which interest begins to accrue on such additional Notes and the first Interest Payment Date of such additional Notes), which additional Notes will, subject to the foregoing, be considered to be part of the same series of, and rank equally and ratably with all other, Notes issued under this Supplemental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such additional Notes (and any Notes that are resold after such Notes have been purchased or otherwise acquired by the Company or its Subsidiaries) are not fungible with other Notes issued under this Supplemental Indenture for U.S. federal income tax purposes, for U.S. federal securities law purposes or for purposes of the Depositary Procedures, then such additional or resold Notes will be identified by one or more separate CUSIP numbers or by no CUSIP number. In authenticating additional Notes, the Trustee will receive: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copy of the resolution or resolutions of the Board of Directors in or pursuant to which the terms and form of the Notes were established, and if the terms and form of such Notes are established by an Officer’s Certificate pursuant to general authorization of the Board of Directors, such Officer’s Certificate;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executed supplemental indenture, if any; and</w:t>
      </w:r>
    </w:p>
    <w:p>
      <w:pPr>
        <w:pStyle w:val="TextBody"/>
        <w:bidi w:val="0"/>
        <w:spacing w:before="0" w:after="0"/>
        <w:ind w:left="3600" w:right="0" w:hanging="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Opinion of Counsel which will state:</w:t>
      </w:r>
    </w:p>
    <w:p>
      <w:pPr>
        <w:pStyle w:val="TextBody"/>
        <w:bidi w:val="0"/>
        <w:spacing w:before="0" w:after="0"/>
        <w:ind w:left="3600" w:right="0" w:hanging="72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the form and terms of such Notes have been established in conformity with the provisions of the Indenture; and</w:t>
      </w:r>
    </w:p>
    <w:p>
      <w:pPr>
        <w:pStyle w:val="TextBody"/>
        <w:bidi w:val="0"/>
        <w:spacing w:before="0" w:after="0"/>
        <w:ind w:left="216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such Notes,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reorganization and other laws of general applicability relating to or affecting the enforcement of creditors’ rights and to general equity principles.</w:t>
      </w:r>
    </w:p>
    <w:p>
      <w:pPr>
        <w:pStyle w:val="TextBody"/>
        <w:bidi w:val="0"/>
        <w:spacing w:before="0" w:after="0"/>
        <w:ind w:left="2160" w:right="0" w:firstLine="144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2.03 </w:t>
      </w:r>
      <w:r>
        <w:rPr>
          <w:rFonts w:ascii="Times New Roman;Times;Serif" w:hAnsi="Times New Roman;Times;Serif"/>
          <w:b/>
          <w:i w:val="false"/>
          <w:smallCaps/>
          <w:sz w:val="20"/>
        </w:rPr>
        <w:t>Method of Payment.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The Company will pay, or cause the Paying Agent to pay, the principal (whether due upon maturity on the Maturity Date, Redemption on a Redemption Date or repurchase on a Fundamental Change Repurchase Date or otherwise) of, interest on, and any cash Conversion Consideration for, any Global Note to the Depositary by wire transfer of immediately available funds no later than the time the same is due as provided in the Indenture.</w:t>
      </w:r>
    </w:p>
    <w:p>
      <w:pPr>
        <w:pStyle w:val="TextBody"/>
        <w:bidi w:val="0"/>
        <w:spacing w:before="0" w:after="0"/>
        <w:ind w:left="1440" w:right="0" w:firstLine="71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Physical Notes</w:t>
      </w:r>
      <w:r>
        <w:rPr>
          <w:rFonts w:ascii="Times New Roman;Times;Serif" w:hAnsi="Times New Roman;Times;Serif"/>
          <w:b w:val="false"/>
          <w:i w:val="false"/>
          <w:caps w:val="false"/>
          <w:smallCaps w:val="false"/>
          <w:sz w:val="20"/>
        </w:rPr>
        <w:t>. The Company will pay, or cause the Paying Agent to pay, the principal (whether due upon maturity on the Maturity Date, Redemption on a Redemption Date or repurchase on a Fundamental Change Repurchase Date or otherwise) of, interest on, and any cash Conversion Consideration for, any Physical Note no later than the time the same is due as provided in the Indenture as follows: (i) if the principal amount of such Physical Note is at least two million dollars ($2,000,000)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specified in such request,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2.04 </w:t>
      </w:r>
      <w:r>
        <w:rPr>
          <w:rFonts w:ascii="Times New Roman;Times;Serif" w:hAnsi="Times New Roman;Times;Serif"/>
          <w:b/>
          <w:i w:val="false"/>
          <w:smallCaps/>
          <w:sz w:val="20"/>
        </w:rPr>
        <w:t>Accrual of Interest; Defaulted Amounts; When Payment Date is Not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Accrual of Interest.</w:t>
      </w:r>
      <w:r>
        <w:rPr>
          <w:rFonts w:ascii="Times New Roman;Times;Serif" w:hAnsi="Times New Roman;Times;Serif"/>
          <w:b w:val="false"/>
          <w:i w:val="false"/>
          <w:caps w:val="false"/>
          <w:smallCaps w:val="false"/>
          <w:sz w:val="20"/>
        </w:rPr>
        <w:t xml:space="preserve"> Each Note will accrue interest at a rate per annum equal to 0.250% (the “</w:t>
      </w:r>
      <w:r>
        <w:rPr>
          <w:rFonts w:ascii="Times New Roman;Times;Serif" w:hAnsi="Times New Roman;Times;Serif"/>
          <w:b/>
          <w:i w:val="false"/>
          <w:caps w:val="false"/>
          <w:smallCaps w:val="false"/>
          <w:sz w:val="20"/>
        </w:rPr>
        <w:t>Stated Interest</w:t>
      </w:r>
      <w:r>
        <w:rPr>
          <w:rFonts w:ascii="Times New Roman;Times;Serif" w:hAnsi="Times New Roman;Times;Serif"/>
          <w:b w:val="false"/>
          <w:i w:val="false"/>
          <w:caps w:val="false"/>
          <w:smallCaps w:val="false"/>
          <w:sz w:val="20"/>
        </w:rPr>
        <w:t xml:space="preserve">”), plus any Special Interest that may accrue pursuant to </w:t>
      </w:r>
      <w:r>
        <w:rPr>
          <w:rFonts w:ascii="Times New Roman;Times;Serif" w:hAnsi="Times New Roman;Times;Serif"/>
          <w:b/>
          <w:i w:val="false"/>
          <w:caps w:val="false"/>
          <w:smallCaps w:val="false"/>
          <w:sz w:val="20"/>
        </w:rPr>
        <w:t>Section 7.03</w:t>
      </w:r>
      <w:r>
        <w:rPr>
          <w:rFonts w:ascii="Times New Roman;Times;Serif" w:hAnsi="Times New Roman;Times;Serif"/>
          <w:b w:val="false"/>
          <w:i w:val="false"/>
          <w:caps w:val="false"/>
          <w:smallCaps w:val="false"/>
          <w:sz w:val="20"/>
        </w:rPr>
        <w:t xml:space="preserve">.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Section 4.03(E)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Section 5.02(D) </w:t>
      </w:r>
      <w:r>
        <w:rPr>
          <w:rFonts w:ascii="Times New Roman;Times;Serif" w:hAnsi="Times New Roman;Times;Serif"/>
          <w:b w:val="false"/>
          <w:i w:val="false"/>
          <w:caps w:val="false"/>
          <w:smallCaps w:val="false"/>
          <w:sz w:val="20"/>
        </w:rPr>
        <w:t>(but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Special Interest, on the Notes will be computed on the basis of a 360-day year comprised of twelve 30-day months.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Defaulted Amounts</w:t>
      </w:r>
      <w:r>
        <w:rPr>
          <w:rFonts w:ascii="Times New Roman;Times;Serif" w:hAnsi="Times New Roman;Times;Serif"/>
          <w:b w:val="false"/>
          <w:i w:val="false"/>
          <w:caps w:val="false"/>
          <w:smallCaps w:val="false"/>
          <w:sz w:val="20"/>
        </w:rPr>
        <w:t>. If the Company fails to pay any amount (a “</w:t>
      </w:r>
      <w:r>
        <w:rPr>
          <w:rFonts w:ascii="Times New Roman;Times;Serif" w:hAnsi="Times New Roman;Times;Serif"/>
          <w:b/>
          <w:i w:val="false"/>
          <w:caps w:val="false"/>
          <w:smallCaps w:val="false"/>
          <w:sz w:val="20"/>
        </w:rPr>
        <w:t>Defaulted Amount</w:t>
      </w:r>
      <w:r>
        <w:rPr>
          <w:rFonts w:ascii="Times New Roman;Times;Serif" w:hAnsi="Times New Roman;Times;Serif"/>
          <w:b w:val="false"/>
          <w:i w:val="false"/>
          <w:caps w:val="false"/>
          <w:smallCaps w:val="false"/>
          <w:sz w:val="20"/>
        </w:rPr>
        <w:t>”) payable on a Note on or before the due date therefor as provided in the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xml:space="preserve">”) will accrue on such Defaulted Amount at a rate per annum equal to the rate per annum at which Stated Interest accrues, from, and including, such due date to, but excluding, the date of payment of such Defaulted Amount and Default Interest; and (iii) such Defaulted Amount and Default Interest will be paid, at the Company’s election, as provided in </w:t>
      </w:r>
      <w:r>
        <w:rPr>
          <w:rFonts w:ascii="Times New Roman;Times;Serif" w:hAnsi="Times New Roman;Times;Serif"/>
          <w:b/>
          <w:i w:val="false"/>
          <w:caps w:val="false"/>
          <w:smallCaps w:val="false"/>
          <w:sz w:val="20"/>
        </w:rPr>
        <w:t xml:space="preserve">clause (i)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below.</w:t>
      </w:r>
    </w:p>
    <w:p>
      <w:pPr>
        <w:pStyle w:val="TextBody"/>
        <w:bidi w:val="0"/>
        <w:spacing w:before="0" w:after="0"/>
        <w:ind w:left="1438" w:right="0" w:firstLine="721"/>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1438" w:right="0" w:firstLine="721"/>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Payment of Default Amounts on a Special Payment Date</w:t>
      </w:r>
      <w:r>
        <w:rPr>
          <w:rFonts w:ascii="Times New Roman;Times;Serif" w:hAnsi="Times New Roman;Times;Serif"/>
          <w:b w:val="false"/>
          <w:i w:val="false"/>
          <w:caps w:val="false"/>
          <w:smallCaps w:val="false"/>
          <w:sz w:val="20"/>
        </w:rPr>
        <w:t xml:space="preserve">. The Company will have the right to pay such Defaulted Amount and Default Interest on a payment date selected by the Company to the Holder of such Note as of the Close of Business on a special record date selected by the Company,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(1) such special record date is no more than fifteen (15), nor less than ten (10), calendar days before such payment date; and (2) at least fifteen (15) calendar days before such special record date, the Company sends notice to the Trustee and the Holders that states such special record date, such payment date and the amount of such Defaulted Amount and Default Interest to be paid on such payment date.</w:t>
      </w:r>
    </w:p>
    <w:p>
      <w:pPr>
        <w:pStyle w:val="TextBody"/>
        <w:bidi w:val="0"/>
        <w:spacing w:before="0" w:after="0"/>
        <w:ind w:left="2159" w:right="0" w:firstLine="721"/>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Payment of Default Amount in Any Other Lawful Manner</w:t>
      </w:r>
      <w:r>
        <w:rPr>
          <w:rFonts w:ascii="Times New Roman;Times;Serif" w:hAnsi="Times New Roman;Times;Serif"/>
          <w:b w:val="false"/>
          <w:i w:val="false"/>
          <w:caps w:val="false"/>
          <w:smallCaps w:val="false"/>
          <w:sz w:val="20"/>
        </w:rPr>
        <w:t xml:space="preserve">. If not paid in accordance with </w:t>
      </w:r>
      <w:r>
        <w:rPr>
          <w:rFonts w:ascii="Times New Roman;Times;Serif" w:hAnsi="Times New Roman;Times;Serif"/>
          <w:b/>
          <w:i w:val="false"/>
          <w:caps w:val="false"/>
          <w:smallCaps w:val="false"/>
          <w:sz w:val="20"/>
        </w:rPr>
        <w:t>Section 2.04(B)(i)</w:t>
      </w:r>
      <w:r>
        <w:rPr>
          <w:rFonts w:ascii="Times New Roman;Times;Serif" w:hAnsi="Times New Roman;Times;Serif"/>
          <w:b w:val="false"/>
          <w:i w:val="false"/>
          <w:caps w:val="false"/>
          <w:smallCaps w:val="false"/>
          <w:sz w:val="20"/>
        </w:rPr>
        <w:t xml:space="preserve">, such Defaulted Amount and Default Interest will be paid by the Company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w:t>
      </w:r>
      <w:r>
        <w:rPr>
          <w:rFonts w:ascii="Times New Roman;Times;Serif" w:hAnsi="Times New Roman;Times;Serif"/>
          <w:b/>
          <w:i w:val="false"/>
          <w:caps w:val="false"/>
          <w:smallCaps w:val="false"/>
          <w:sz w:val="20"/>
        </w:rPr>
        <w:t>Section 2.04(B)(ii)</w:t>
      </w:r>
      <w:r>
        <w:rPr>
          <w:rFonts w:ascii="Times New Roman;Times;Serif" w:hAnsi="Times New Roman;Times;Serif"/>
          <w:b w:val="false"/>
          <w:i w:val="false"/>
          <w:caps w:val="false"/>
          <w:smallCaps w:val="false"/>
          <w:sz w:val="20"/>
        </w:rPr>
        <w:t>, such manner of payment will be deemed practicable by the Trustee.</w:t>
      </w:r>
    </w:p>
    <w:p>
      <w:pPr>
        <w:pStyle w:val="TextBody"/>
        <w:bidi w:val="0"/>
        <w:spacing w:before="0" w:after="0"/>
        <w:ind w:left="2159" w:right="0" w:firstLine="72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Delay of Payment When Payment Date Is Not a Business Day</w:t>
      </w:r>
      <w:r>
        <w:rPr>
          <w:rFonts w:ascii="Times New Roman;Times;Serif" w:hAnsi="Times New Roman;Times;Serif"/>
          <w:b w:val="false"/>
          <w:i w:val="false"/>
          <w:caps w:val="false"/>
          <w:smallCaps w:val="false"/>
          <w:sz w:val="20"/>
        </w:rPr>
        <w:t>. If the due date for a payment on a Note as provided in the Indenture is not a Business Day, then, notwithstanding anything to the contrary in the Indenture or the Notes, such payment may be made on the immediately following Business Day with the same force and effect as if such payment were made on such due date (and, for the avoidance of doubt,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pStyle w:val="TextBody"/>
        <w:bidi w:val="0"/>
        <w:spacing w:before="0" w:after="0"/>
        <w:ind w:left="1440" w:right="0" w:firstLine="71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Special Provision for Global Notes</w:t>
      </w:r>
      <w:r>
        <w:rPr>
          <w:rFonts w:ascii="Times New Roman;Times;Serif" w:hAnsi="Times New Roman;Times;Serif"/>
          <w:b w:val="false"/>
          <w:i w:val="false"/>
          <w:caps w:val="false"/>
          <w:smallCaps w:val="false"/>
          <w:sz w:val="20"/>
        </w:rPr>
        <w:t>. If the first date on which any Special Interest begins to accrue on a Global Note is on or after the fifth (5th) Business Day before a Regular Record Date and before the next Interest Payment Date, then, notwithstanding anything to the contrary in the Indenture or the Notes, the amount thereof accruing in respect of the period from, and including, such first date to, but excluding, such Interest Payment Date will not be payable on such Interest Payment Date but will instead be deemed to accrue (without duplication) entirely on such Interest Payment Date and be payable on the immediately succeeding Interest Payment Date (and, for the avoidance of doubt, no interest will accrue as a result of the related delay).</w:t>
      </w:r>
    </w:p>
    <w:p>
      <w:pPr>
        <w:pStyle w:val="TextBody"/>
        <w:bidi w:val="0"/>
        <w:spacing w:before="0" w:after="0"/>
        <w:ind w:left="1440" w:right="0" w:firstLine="719"/>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2.05 </w:t>
      </w:r>
      <w:r>
        <w:rPr>
          <w:rFonts w:ascii="Times New Roman;Times;Serif" w:hAnsi="Times New Roman;Times;Serif"/>
          <w:b/>
          <w:i w:val="false"/>
          <w:smallCaps/>
          <w:sz w:val="20"/>
        </w:rPr>
        <w:t>Registrar, Paying Agent and Conversion Agent.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Section 2.05</w:t>
      </w:r>
      <w:r>
        <w:rPr>
          <w:rFonts w:ascii="Times New Roman;Times;Serif" w:hAnsi="Times New Roman;Times;Serif"/>
          <w:b w:val="false"/>
          <w:i w:val="false"/>
          <w:caps w:val="false"/>
          <w:smallCaps w:val="false"/>
          <w:sz w:val="20"/>
        </w:rPr>
        <w:t xml:space="preserve"> will apply to the Notes in lieu of Section 4.02 of the Base Indenture, which will be deemed to be replaced with this </w:t>
      </w:r>
      <w:r>
        <w:rPr>
          <w:rFonts w:ascii="Times New Roman;Times;Serif" w:hAnsi="Times New Roman;Times;Serif"/>
          <w:b/>
          <w:i w:val="false"/>
          <w:caps w:val="false"/>
          <w:smallCaps w:val="false"/>
          <w:sz w:val="20"/>
        </w:rPr>
        <w:t>Section 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1438"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Company will maintain (i) an office or agency in the continental United States where Notes may be presented for registration of transfer or for exchange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(ii) an office or agency in the continental United States where Notes may be presented for payment (the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and (iii) an office or agency in the continental United States where Notes may be presented for Conversion (the “</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xml:space="preserve">”). If the Company fails to maintain a Registrar, Paying Agent or Conversion Agent, then the Trustee will act as such and will receive compensation therefor in accordance with the Indenture and any other agreement between the Trustee and the Company. For the avoidance of doubt, the Company or any of its Subsidiaries may act as Registrar, Paying Agent or Conversion Agent, without prior notice to Holders. Notwithstanding anything to the contrary in this </w:t>
      </w:r>
      <w:r>
        <w:rPr>
          <w:rFonts w:ascii="Times New Roman;Times;Serif" w:hAnsi="Times New Roman;Times;Serif"/>
          <w:b/>
          <w:i w:val="false"/>
          <w:caps w:val="false"/>
          <w:smallCaps w:val="false"/>
          <w:sz w:val="20"/>
        </w:rPr>
        <w:t>Section 2.05(A)</w:t>
      </w:r>
      <w:r>
        <w:rPr>
          <w:rFonts w:ascii="Times New Roman;Times;Serif" w:hAnsi="Times New Roman;Times;Serif"/>
          <w:b w:val="false"/>
          <w:i w:val="false"/>
          <w:caps w:val="false"/>
          <w:smallCaps w:val="false"/>
          <w:sz w:val="20"/>
        </w:rPr>
        <w:t>, each of the Registrar, Paying Agent and Conversion Agent with respect to any Global Note must at all times be a Person that is eligible to act in that capacity under the Depositary Procedures.</w:t>
      </w:r>
    </w:p>
    <w:p>
      <w:pPr>
        <w:pStyle w:val="TextBody"/>
        <w:bidi w:val="0"/>
        <w:spacing w:before="0" w:after="0"/>
        <w:ind w:left="1438" w:right="0" w:firstLine="72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Duties of the Registrar</w:t>
      </w:r>
      <w:r>
        <w:rPr>
          <w:rFonts w:ascii="Times New Roman;Times;Serif" w:hAnsi="Times New Roman;Times;Serif"/>
          <w:b w:val="false"/>
          <w:i w:val="false"/>
          <w:caps w:val="false"/>
          <w:smallCaps w:val="false"/>
          <w:sz w:val="20"/>
        </w:rPr>
        <w:t>. The Registrar will keep a record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of the names and addresses of the Holders, the Notes held by 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pStyle w:val="TextBody"/>
        <w:bidi w:val="0"/>
        <w:spacing w:before="0" w:after="0"/>
        <w:ind w:left="1438" w:right="0" w:firstLine="721"/>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Co-Agents; Company’s Right to Appoint Successor Registrars, Paying Agents and Conversion Agents</w:t>
      </w:r>
      <w:r>
        <w:rPr>
          <w:rFonts w:ascii="Times New Roman;Times;Serif" w:hAnsi="Times New Roman;Times;Serif"/>
          <w:b w:val="false"/>
          <w:i w:val="false"/>
          <w:caps w:val="false"/>
          <w:smallCaps w:val="false"/>
          <w:sz w:val="20"/>
        </w:rPr>
        <w:t xml:space="preserve">. The Company may appoint one or more co-Registrars, co-Paying Agents and co-Conversion Agents, each of whom will be deemed to be a Registrar, Paying Agent or Conversion Agent, as applicable, under the Indenture. Subject to </w:t>
      </w:r>
      <w:r>
        <w:rPr>
          <w:rFonts w:ascii="Times New Roman;Times;Serif" w:hAnsi="Times New Roman;Times;Serif"/>
          <w:b/>
          <w:i w:val="false"/>
          <w:caps w:val="false"/>
          <w:smallCaps w:val="false"/>
          <w:sz w:val="20"/>
        </w:rPr>
        <w:t>Section 2.05(A)</w:t>
      </w:r>
      <w:r>
        <w:rPr>
          <w:rFonts w:ascii="Times New Roman;Times;Serif" w:hAnsi="Times New Roman;Times;Serif"/>
          <w:b w:val="false"/>
          <w:i w:val="false"/>
          <w:caps w:val="false"/>
          <w:smallCaps w:val="false"/>
          <w:sz w:val="20"/>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the Indenture and will enter into an appropriate agency agreement with each such Note Agent, which agreement will implement the provisions of the Indenture that relate to such Note Agent.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Initial Appointments</w:t>
      </w:r>
      <w:r>
        <w:rPr>
          <w:rFonts w:ascii="Times New Roman;Times;Serif" w:hAnsi="Times New Roman;Times;Serif"/>
          <w:b w:val="false"/>
          <w:i w:val="false"/>
          <w:caps w:val="false"/>
          <w:smallCaps w:val="false"/>
          <w:sz w:val="20"/>
        </w:rPr>
        <w:t>. The Company appoints the Trustee as the initial Paying Agent, the initial Registrar and the initial Conversion Agent and designates the office of the Trustee at U.S. Bank Trust Company, National Association, West Side Flats St Paul, 60 Livingston Ave, Saint Paul, MN 55107 | EP-MN-S3MC, Attention: Q. DePompolo (Celcuity Inc. Administrator) as the office for the same (or such other address as the Trustee or applicable Note Agent may designate from time to time by notice to the Holders and the Company).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2.06 </w:t>
      </w:r>
      <w:r>
        <w:rPr>
          <w:rFonts w:ascii="Times New Roman;Times;Serif" w:hAnsi="Times New Roman;Times;Serif"/>
          <w:b/>
          <w:i w:val="false"/>
          <w:smallCaps/>
          <w:sz w:val="20"/>
        </w:rPr>
        <w:t>Paying Agent and Conversion Agent to Hold Property in Trust.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Section 2.06</w:t>
      </w:r>
      <w:r>
        <w:rPr>
          <w:rFonts w:ascii="Times New Roman;Times;Serif" w:hAnsi="Times New Roman;Times;Serif"/>
          <w:b w:val="false"/>
          <w:i w:val="false"/>
          <w:caps w:val="false"/>
          <w:smallCaps w:val="false"/>
          <w:sz w:val="20"/>
        </w:rPr>
        <w:t xml:space="preserve"> will apply to the Notes in lieu of Section 4.03 of the Base Indenture, which will be deemed to be replaced with this </w:t>
      </w:r>
      <w:r>
        <w:rPr>
          <w:rFonts w:ascii="Times New Roman;Times;Serif" w:hAnsi="Times New Roman;Times;Serif"/>
          <w:b/>
          <w:i w:val="false"/>
          <w:caps w:val="false"/>
          <w:smallCaps w:val="false"/>
          <w:sz w:val="20"/>
        </w:rPr>
        <w:t xml:space="preserve">Section 2.06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the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Times;Serif" w:hAnsi="Times New Roman;Times;Serif"/>
          <w:b/>
          <w:i w:val="false"/>
          <w:caps w:val="false"/>
          <w:smallCaps w:val="false"/>
          <w:sz w:val="20"/>
        </w:rPr>
        <w:t>clause (viii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(ix</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xml:space="preserve"> with respect to the Company (or with respect to any Subsidiary of the Company acting as Paying Agent or Conversion Agent), the Trustee will serve as the Paying Agent or Conversion Agent, as applicable, for the Notes.</w:t>
      </w:r>
    </w:p>
    <w:p>
      <w:pPr>
        <w:pStyle w:val="TextBody"/>
        <w:bidi w:val="0"/>
        <w:spacing w:before="0" w:after="0"/>
        <w:ind w:left="1438"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2.07 </w:t>
      </w:r>
      <w:r>
        <w:rPr>
          <w:rFonts w:ascii="Times New Roman;Times;Serif" w:hAnsi="Times New Roman;Times;Serif"/>
          <w:b/>
          <w:i w:val="false"/>
          <w:smallCaps/>
          <w:sz w:val="20"/>
        </w:rPr>
        <w:t>Holder Lists.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is not the Registrar, then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pStyle w:val="TextBody"/>
        <w:bidi w:val="0"/>
        <w:spacing w:before="0" w:after="0"/>
        <w:ind w:left="1438"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2.08 </w:t>
      </w:r>
      <w:r>
        <w:rPr>
          <w:rFonts w:ascii="Times New Roman;Times;Serif" w:hAnsi="Times New Roman;Times;Serif"/>
          <w:b/>
          <w:i w:val="false"/>
          <w:smallCaps/>
          <w:sz w:val="20"/>
        </w:rPr>
        <w:t>Legends.</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Global Note Legend</w:t>
      </w:r>
      <w:r>
        <w:rPr>
          <w:rFonts w:ascii="Times New Roman;Times;Serif" w:hAnsi="Times New Roman;Times;Serif"/>
          <w:b w:val="false"/>
          <w:i w:val="false"/>
          <w:caps w:val="false"/>
          <w:smallCaps w:val="false"/>
          <w:sz w:val="20"/>
        </w:rPr>
        <w:t>. Each Global Note will bear the Global Note Legend (or any similar legend, not inconsistent with the Indenture, required by the Depositary for such Global Note).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Non-Affiliate Legend</w:t>
      </w:r>
      <w:r>
        <w:rPr>
          <w:rFonts w:ascii="Times New Roman;Times;Serif" w:hAnsi="Times New Roman;Times;Serif"/>
          <w:b w:val="false"/>
          <w:i w:val="false"/>
          <w:caps w:val="false"/>
          <w:smallCaps w:val="false"/>
          <w:sz w:val="20"/>
        </w:rPr>
        <w:t>. Each Note will bear the Non-Affiliate Legend.</w:t>
      </w:r>
    </w:p>
    <w:p>
      <w:pPr>
        <w:pStyle w:val="TextBody"/>
        <w:bidi w:val="0"/>
        <w:spacing w:before="0" w:after="0"/>
        <w:ind w:left="288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Other Legends</w:t>
      </w:r>
      <w:r>
        <w:rPr>
          <w:rFonts w:ascii="Times New Roman;Times;Serif" w:hAnsi="Times New Roman;Times;Serif"/>
          <w:b w:val="false"/>
          <w:i w:val="false"/>
          <w:caps w:val="false"/>
          <w:smallCaps w:val="false"/>
          <w:sz w:val="20"/>
        </w:rPr>
        <w:t>. A Note may bear any other legend or text, not inconsistent with the Indenture, as may be required by applicable law or by any securities exchange or automated quotation system on which such Note is traded or quoted.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Acknowledgment and Agreement by the Holders</w:t>
      </w:r>
      <w:r>
        <w:rPr>
          <w:rFonts w:ascii="Times New Roman;Times;Serif" w:hAnsi="Times New Roman;Times;Serif"/>
          <w:b w:val="false"/>
          <w:i w:val="false"/>
          <w:caps w:val="false"/>
          <w:smallCaps w:val="false"/>
          <w:sz w:val="20"/>
        </w:rPr>
        <w:t xml:space="preserve">. A Holder’s acceptance of any Note bearing any legend required by this </w:t>
      </w:r>
      <w:r>
        <w:rPr>
          <w:rFonts w:ascii="Times New Roman;Times;Serif" w:hAnsi="Times New Roman;Times;Serif"/>
          <w:b/>
          <w:i w:val="false"/>
          <w:caps w:val="false"/>
          <w:smallCaps w:val="false"/>
          <w:sz w:val="20"/>
        </w:rPr>
        <w:t xml:space="preserve">Section 2.08 </w:t>
      </w:r>
      <w:r>
        <w:rPr>
          <w:rFonts w:ascii="Times New Roman;Times;Serif" w:hAnsi="Times New Roman;Times;Serif"/>
          <w:b w:val="false"/>
          <w:i w:val="false"/>
          <w:caps w:val="false"/>
          <w:smallCaps w:val="false"/>
          <w:sz w:val="20"/>
        </w:rPr>
        <w:t>will constitute such Holder’s acknowledgment of, and agreement to comply with, the restrictions set forth in such legend.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2.09 </w:t>
      </w:r>
      <w:r>
        <w:rPr>
          <w:rFonts w:ascii="Times New Roman;Times;Serif" w:hAnsi="Times New Roman;Times;Serif"/>
          <w:b/>
          <w:i w:val="false"/>
          <w:smallCaps/>
          <w:sz w:val="20"/>
        </w:rPr>
        <w:t>Certain Transfer Restrictions on Notes Subject to Conversion, Redemption or Repurchase.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the Indenture or the Notes, the Company, the Trustee and the Registrar will not be required to register the transfer of or exchange any Note that (i) has been surrendered for Conversion, except to the extent that any portion of such Note is not subject to Conversion; (ii) has been selected for Redemption pursuant to a Redemption Notice, except to the extent that any portion of such Note is not subject to Redemption or the Company fails to pay the applicable Redemption Price when due; or (iii) is subject to a Fundamental Change Repurchase Notice validly delivered, and not withdrawn, pursuant to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 except to the extent that any portion of such Note is not subject to such notice or the Company fails to pay the applicable Fundamental Change Repurchase Price when due.</w:t>
      </w:r>
    </w:p>
    <w:p>
      <w:pPr>
        <w:pStyle w:val="TextBody"/>
        <w:bidi w:val="0"/>
        <w:spacing w:before="0" w:after="0"/>
        <w:ind w:left="14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2.10 </w:t>
      </w:r>
      <w:r>
        <w:rPr>
          <w:rFonts w:ascii="Times New Roman;Times;Serif" w:hAnsi="Times New Roman;Times;Serif"/>
          <w:b/>
          <w:i w:val="false"/>
          <w:smallCaps/>
          <w:sz w:val="20"/>
        </w:rPr>
        <w:t>Exchange and Cancellation of Notes to Be Converted, Redeemed or Repurchased.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Partial Conversions of Physical Notes and Partial Redemptions or Repurchases of Physical Notes</w:t>
      </w:r>
      <w:r>
        <w:rPr>
          <w:rFonts w:ascii="Times New Roman;Times;Serif" w:hAnsi="Times New Roman;Times;Serif"/>
          <w:b w:val="false"/>
          <w:i w:val="false"/>
          <w:caps w:val="false"/>
          <w:smallCaps w:val="false"/>
          <w:sz w:val="20"/>
        </w:rPr>
        <w:t xml:space="preserve">. If only a portion of a Physical Note of a Holder is to be Converted pursuant to </w:t>
      </w:r>
      <w:r>
        <w:rPr>
          <w:rFonts w:ascii="Times New Roman;Times;Serif" w:hAnsi="Times New Roman;Times;Serif"/>
          <w:b/>
          <w:i w:val="false"/>
          <w:caps w:val="false"/>
          <w:smallCaps w:val="false"/>
          <w:sz w:val="20"/>
        </w:rPr>
        <w:t xml:space="preserve">Article 5, </w:t>
      </w:r>
      <w:r>
        <w:rPr>
          <w:rFonts w:ascii="Times New Roman;Times;Serif" w:hAnsi="Times New Roman;Times;Serif"/>
          <w:b w:val="false"/>
          <w:i w:val="false"/>
          <w:caps w:val="false"/>
          <w:smallCaps w:val="false"/>
          <w:sz w:val="20"/>
        </w:rPr>
        <w:t xml:space="preserve">redeemed pursuant to a Redemption or repurchased pursuant to a Repurchase Upon Fundamental Change or, then, as soon as reasonably practicable after such Physical Note is surrendered for such Conversion, redemption or repurchase, as applicable, the Company will cause such Physical Note to be exchanged, pursuant and subject to Section 2.05 of the Base Indenture, for (i) one or more Physical Notes that are in Authorized Denominations and have an aggregate principal amount equal to the principal amount of such Physical Note that is not to be so Converted, redeemed or repurchased, as applicable, and deliver such Physical Note(s) to such Holder; and (ii) a Physical Note having a principal amount equal to the principal amount to be so Converted, redeemed or repurchased, as applicable, which Physical Note will be Converted, redeemed or repurchased, as applicable, pursuant to the terms of the Indenture; provided, however, that the Physical Note referred to in this </w:t>
      </w:r>
      <w:r>
        <w:rPr>
          <w:rFonts w:ascii="Times New Roman;Times;Serif" w:hAnsi="Times New Roman;Times;Serif"/>
          <w:b/>
          <w:i w:val="false"/>
          <w:caps w:val="false"/>
          <w:smallCaps w:val="false"/>
          <w:sz w:val="20"/>
        </w:rPr>
        <w:t>clause (ii)</w:t>
      </w:r>
      <w:r>
        <w:rPr>
          <w:rFonts w:ascii="Times New Roman;Times;Serif" w:hAnsi="Times New Roman;Times;Serif"/>
          <w:b w:val="false"/>
          <w:i w:val="false"/>
          <w:caps w:val="false"/>
          <w:smallCaps w:val="false"/>
          <w:sz w:val="20"/>
        </w:rPr>
        <w:t xml:space="preserve"> need not be issued at any time after which such principal amount subject to such Conversion or repurchase, as applicable, is deemed to cease to be outstanding pursuant to </w:t>
      </w: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Cancellation of Notes that Are Converted, Redeemed Pursuant to a Redemption and Notes that Are Repurchased Pursuant to a Repurchase Upon Fundamental Change</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Physical Notes</w:t>
      </w:r>
      <w:r>
        <w:rPr>
          <w:rFonts w:ascii="Times New Roman;Times;Serif" w:hAnsi="Times New Roman;Times;Serif"/>
          <w:b w:val="false"/>
          <w:i w:val="false"/>
          <w:caps w:val="false"/>
          <w:smallCaps w:val="false"/>
          <w:sz w:val="20"/>
        </w:rPr>
        <w:t xml:space="preserve">. If a Physical Note (or any portion thereof that has not theretofore been exchanged pursuant to </w:t>
      </w:r>
      <w:r>
        <w:rPr>
          <w:rFonts w:ascii="Times New Roman;Times;Serif" w:hAnsi="Times New Roman;Times;Serif"/>
          <w:b/>
          <w:i w:val="false"/>
          <w:caps w:val="false"/>
          <w:smallCaps w:val="false"/>
          <w:sz w:val="20"/>
        </w:rPr>
        <w:t>Section 2.10(A)</w:t>
      </w:r>
      <w:r>
        <w:rPr>
          <w:rFonts w:ascii="Times New Roman;Times;Serif" w:hAnsi="Times New Roman;Times;Serif"/>
          <w:b w:val="false"/>
          <w:i w:val="false"/>
          <w:caps w:val="false"/>
          <w:smallCaps w:val="false"/>
          <w:sz w:val="20"/>
        </w:rPr>
        <w:t xml:space="preserve">) of a Holder is to be Converted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redeemed pursuant to a Redemption or repurchased pursuant to a Repurchase Upon Fundamental Change, then, promptly after the later of the time such Physical Note (or such portion) is deemed to cease to be outstanding pursuant to </w:t>
      </w: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 xml:space="preserve"> and the time such Physical Note is surrendered for such Conversion, redemption or repurchase, as applicable, (1) such Physical Note will be cancelled pursuant to Section 2.08 of the Base Indenture; and (2) in the case of a partial Conversion, redemption or repurchase, as applicable, the Company will issue, execute and deliver to such Holder, and the Trustee will authenticate, in each case in accordance with Section 2.04 of the Base Indenture, one or more Physical Notes that (x) are in Authorized Denominations and have an aggregate principal amount equal to the principal amount of such Physical Note that is not to be so Converted, redeemed or repurchased, as applicable; (y) are registered in the name of such Holder; and (z) bear each legend, if any, required by </w:t>
      </w:r>
      <w:r>
        <w:rPr>
          <w:rFonts w:ascii="Times New Roman;Times;Serif" w:hAnsi="Times New Roman;Times;Serif"/>
          <w:b/>
          <w:i w:val="false"/>
          <w:caps w:val="false"/>
          <w:smallCaps w:val="false"/>
          <w:sz w:val="20"/>
        </w:rPr>
        <w:t>Section 2.08</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xml:space="preserve">. If a Global Note (or any portion thereof) is to be Converted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redeemed pursuant to a Redemption or repurchased pursuant to a Repurchase Upon Fundamental Change, then, promptly after the time such Note (or such portion) is deemed to cease to be outstanding pursuant to </w:t>
      </w: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 the Trustee will reflect a decrease of the principal amount of such Global Note in an amount equal to the principal amount of such Global Note to be so Converted, redeemed or repurchased, as applicable, by notation on the “Schedule of Exchanges of Interests in the Global Note” forming part of such Global Note (and, if the principal amount of such Global Note is zero following such notation, cancel such Global Note pursuant to Section 2.08 of the Base Indenture).</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2.11 </w:t>
      </w:r>
      <w:r>
        <w:rPr>
          <w:rFonts w:ascii="Times New Roman;Times;Serif" w:hAnsi="Times New Roman;Times;Serif"/>
          <w:b/>
          <w:i w:val="false"/>
          <w:smallCaps/>
          <w:sz w:val="20"/>
        </w:rPr>
        <w:t>Registered holders; certain rights with respect to global notes.</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to the extent rights hereunder are expressly granted to owners of beneficial interests of Notes, only the Holder of a Note will have rights under the Indenture as the owner of such Note. Without limiting the generality of the foregoing, Depositary Participants will have no rights as such under the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the Indenture or the Notes; and (B) the Company and the Trustee, and their respective agents, may give effect to any written certification, proxy or other authorization furnished by the Depositary.</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2.12 </w:t>
      </w:r>
      <w:r>
        <w:rPr>
          <w:rFonts w:ascii="Times New Roman;Times;Serif" w:hAnsi="Times New Roman;Times;Serif"/>
          <w:b/>
          <w:i w:val="false"/>
          <w:smallCaps/>
          <w:sz w:val="20"/>
        </w:rPr>
        <w:t>Notes Held by the Company or its Affiliates.</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w:t>
      </w: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determining whether the Trustee is protected in relying on any such direction, waiver or consent, only Notes that a Responsible Officer of the Trustee actually knows are so owned will be so disregarded.</w:t>
      </w:r>
    </w:p>
    <w:p>
      <w:pPr>
        <w:pStyle w:val="TextBody"/>
        <w:bidi w:val="0"/>
        <w:spacing w:before="0" w:after="0"/>
        <w:ind w:left="1438"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2.13 </w:t>
      </w:r>
      <w:r>
        <w:rPr>
          <w:rFonts w:ascii="Times New Roman;Times;Serif" w:hAnsi="Times New Roman;Times;Serif"/>
          <w:b/>
          <w:i w:val="false"/>
          <w:smallCaps/>
          <w:sz w:val="20"/>
        </w:rPr>
        <w:t>Outstanding Notes.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The Notes that are outstanding at any time will be deemed to be those Notes that, at such time, have been duly executed and authenticated, excluding those Notes (or portions thereof) that have theretofore been (i) cancelled by the Trustee or delivered to the Trustee for cancellation in accordance with Section 2.08 of the Base Indenture; (ii) assigned a principal amount of zero by notation on the “Schedule of Exchanges of Interests in the Global Note” forming part of any a Global Note representing such Note; (iii) paid in full (including upon Conversion) in accordance with the Indenture; or (iv) deemed to cease to be outstanding to the extent provided in, and subject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Replaced Notes</w:t>
      </w:r>
      <w:r>
        <w:rPr>
          <w:rFonts w:ascii="Times New Roman;Times;Serif" w:hAnsi="Times New Roman;Times;Serif"/>
          <w:b w:val="false"/>
          <w:i w:val="false"/>
          <w:caps w:val="false"/>
          <w:smallCaps w:val="false"/>
          <w:sz w:val="20"/>
        </w:rPr>
        <w:t>. If a Note is replaced pursuant to Section 2.07 of the Base Indenture, then such Note will cease to be outstanding at the time of its replacement, unless the Trustee and the Company receive proof reasonably satisfactory to them that such Note is held by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purchaser” under applicable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Maturing Notes and Notes Called for Redemption or Subject to Repurchase</w:t>
      </w:r>
      <w:r>
        <w:rPr>
          <w:rFonts w:ascii="Times New Roman;Times;Serif" w:hAnsi="Times New Roman;Times;Serif"/>
          <w:b w:val="false"/>
          <w:i w:val="false"/>
          <w:caps w:val="false"/>
          <w:smallCaps w:val="false"/>
          <w:sz w:val="20"/>
        </w:rPr>
        <w:t xml:space="preserve">. If, on a Redemption Date, a Fundamental Change Repurchase Date or the Maturity Date, the Paying Agent holds money sufficient to pay the aggregate Redemption Price, Fundamental Change Repurchase Price or principal amount, respectively, together, in each case, with the aggregate interest (if any),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4.03(E)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the Indenture.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Notes to Be Converted</w:t>
      </w:r>
      <w:r>
        <w:rPr>
          <w:rFonts w:ascii="Times New Roman;Times;Serif" w:hAnsi="Times New Roman;Times;Serif"/>
          <w:b w:val="false"/>
          <w:i w:val="false"/>
          <w:caps w:val="false"/>
          <w:smallCaps w:val="false"/>
          <w:sz w:val="20"/>
        </w:rPr>
        <w:t xml:space="preserve">. At the Close of Business on the Conversion Date for any Note (or any portion thereof) to be Converted, such Note (or such portion) will (unless there occurs a Default in the delivery of the Conversion Consideration or interest due, pursuant to </w:t>
      </w:r>
      <w:r>
        <w:rPr>
          <w:rFonts w:ascii="Times New Roman;Times;Serif" w:hAnsi="Times New Roman;Times;Serif"/>
          <w:b/>
          <w:i w:val="false"/>
          <w:caps w:val="false"/>
          <w:smallCaps w:val="false"/>
          <w:sz w:val="20"/>
        </w:rPr>
        <w:t xml:space="preserve">Section 5.03(B)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xml:space="preserve">, upon such Conversion) be deemed to cease to be outstanding, except to the extent provided in </w:t>
      </w:r>
      <w:r>
        <w:rPr>
          <w:rFonts w:ascii="Times New Roman;Times;Serif" w:hAnsi="Times New Roman;Times;Serif"/>
          <w:b/>
          <w:i w:val="false"/>
          <w:caps w:val="false"/>
          <w:smallCaps w:val="false"/>
          <w:sz w:val="20"/>
        </w:rPr>
        <w:t xml:space="preserve">Section 5.02(D)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Section 5.08</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Cessation of Accrual of Interest</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4.03(E)</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xml:space="preserve">, interest will cease to accrue on each Note from, and including, the date that such Note is deemed, pursuant to this </w:t>
      </w: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 to cease to be outstanding, unless there occurs a default in the payment or delivery of any cash or other property due on such Note.</w:t>
      </w:r>
    </w:p>
    <w:p>
      <w:pPr>
        <w:pStyle w:val="TextBody"/>
        <w:bidi w:val="0"/>
        <w:spacing w:before="0" w:after="0"/>
        <w:ind w:left="1441"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2.14 </w:t>
      </w:r>
      <w:r>
        <w:rPr>
          <w:rFonts w:ascii="Times New Roman;Times;Serif" w:hAnsi="Times New Roman;Times;Serif"/>
          <w:b/>
          <w:i w:val="false"/>
          <w:smallCaps/>
          <w:sz w:val="20"/>
        </w:rPr>
        <w:t>Repurchases by the Company.</w:t>
      </w:r>
    </w:p>
    <w:p>
      <w:pPr>
        <w:pStyle w:val="TextBody"/>
        <w:bidi w:val="0"/>
        <w:spacing w:before="0" w:after="0"/>
        <w:ind w:left="1441"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Section 2.08 of the Base Indenture, the Company may, from time to time, repurchase Notes in open market purchases or in negotiated transactions without delivering prior notice to Holders. Notes that the Company or any of its Subsidiaries have purchased or otherwise acquired will be deemed to remain outstanding (except to the extent provided in </w:t>
      </w: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 until such time as such Notes are delivered to the Trustee for cancellation.</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2.15 </w:t>
      </w:r>
      <w:r>
        <w:rPr>
          <w:rFonts w:ascii="Times New Roman;Times;Serif" w:hAnsi="Times New Roman;Times;Serif"/>
          <w:b/>
          <w:i w:val="false"/>
          <w:smallCaps/>
          <w:sz w:val="20"/>
        </w:rPr>
        <w:t>Cusip and isin Numbers.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 xml:space="preserve"> will apply to the Notes in lieu of Section 2.12 of the Base Indenture, which will be deemed to be replaced with this </w:t>
      </w: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1438"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use one or more CUSIP or ISIN numbers to identify any of the Notes, and, if so, the Company and the Trustee will use such CUSIP or ISIN number(s) in notices to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i w:val="false"/>
          <w:caps w:val="false"/>
          <w:smallCaps w:val="false"/>
          <w:sz w:val="20"/>
        </w:rPr>
        <w:t>Section 1.03(K)</w:t>
      </w:r>
      <w:r>
        <w:rPr>
          <w:rFonts w:ascii="Times New Roman;Times;Serif" w:hAnsi="Times New Roman;Times;Serif"/>
          <w:b w:val="false"/>
          <w:i w:val="false"/>
          <w:caps w:val="false"/>
          <w:smallCaps w:val="false"/>
          <w:sz w:val="20"/>
        </w:rPr>
        <w:t xml:space="preserve"> and except as provided in this </w:t>
      </w:r>
      <w:r>
        <w:rPr>
          <w:rFonts w:ascii="Times New Roman;Times;Serif" w:hAnsi="Times New Roman;Times;Serif"/>
          <w:b/>
          <w:i w:val="false"/>
          <w:caps w:val="false"/>
          <w:smallCaps w:val="false"/>
          <w:sz w:val="20"/>
        </w:rPr>
        <w:t>Article 3</w:t>
      </w:r>
      <w:r>
        <w:rPr>
          <w:rFonts w:ascii="Times New Roman;Times;Serif" w:hAnsi="Times New Roman;Times;Serif"/>
          <w:b w:val="false"/>
          <w:i w:val="false"/>
          <w:caps w:val="false"/>
          <w:smallCaps w:val="false"/>
          <w:sz w:val="20"/>
        </w:rPr>
        <w:t>, the provisions of Articles 4 and 5 of the Base Indenture, as supplemented by the provisions of this Supplemental Indenture, will apply to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3.01 </w:t>
      </w:r>
      <w:r>
        <w:rPr>
          <w:rFonts w:ascii="Times New Roman;Times;Serif" w:hAnsi="Times New Roman;Times;Serif"/>
          <w:b/>
          <w:i w:val="false"/>
          <w:smallCaps/>
          <w:sz w:val="20"/>
        </w:rPr>
        <w:t>Payment on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Section 3.01 </w:t>
      </w:r>
      <w:r>
        <w:rPr>
          <w:rFonts w:ascii="Times New Roman;Times;Serif" w:hAnsi="Times New Roman;Times;Serif"/>
          <w:b w:val="false"/>
          <w:i w:val="false"/>
          <w:caps w:val="false"/>
          <w:smallCaps w:val="false"/>
          <w:sz w:val="20"/>
        </w:rPr>
        <w:t xml:space="preserve">will apply to the Notes in lieu of Section 4.01 of the Base Indenture, which will be deemed to be replaced with this </w:t>
      </w:r>
      <w:r>
        <w:rPr>
          <w:rFonts w:ascii="Times New Roman;Times;Serif" w:hAnsi="Times New Roman;Times;Serif"/>
          <w:b/>
          <w:i w:val="false"/>
          <w:caps w:val="false"/>
          <w:smallCaps w:val="false"/>
          <w:sz w:val="20"/>
        </w:rPr>
        <w:t>Section 3.01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Company will pay or cause to be paid all the principal of, the Fundamental Change Repurchase Price and Redemption Price for, interest, if any, on, and other amounts due with respect to, the Notes on the dates and in the manner set forth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Deposit of Funds</w:t>
      </w:r>
      <w:r>
        <w:rPr>
          <w:rFonts w:ascii="Times New Roman;Times;Serif" w:hAnsi="Times New Roman;Times;Serif"/>
          <w:b w:val="false"/>
          <w:i w:val="false"/>
          <w:caps w:val="false"/>
          <w:smallCaps w:val="false"/>
          <w:sz w:val="20"/>
        </w:rPr>
        <w:t>. Before 11:00 A.M., New York City time, on each Redemption Date, each Fundamental Change Repurchase Date, each Interest Payment Date, the Maturity Date and each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3.02 </w:t>
      </w:r>
      <w:r>
        <w:rPr>
          <w:rFonts w:ascii="Times New Roman;Times;Serif" w:hAnsi="Times New Roman;Times;Serif"/>
          <w:b/>
          <w:i w:val="false"/>
          <w:smallCaps/>
          <w:sz w:val="20"/>
        </w:rPr>
        <w:t>Exchange Act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Section 3.02 </w:t>
      </w:r>
      <w:r>
        <w:rPr>
          <w:rFonts w:ascii="Times New Roman;Times;Serif" w:hAnsi="Times New Roman;Times;Serif"/>
          <w:b w:val="false"/>
          <w:i w:val="false"/>
          <w:caps w:val="false"/>
          <w:smallCaps w:val="false"/>
          <w:sz w:val="20"/>
        </w:rPr>
        <w:t xml:space="preserve">will apply to the Notes in lieu of Section 5.03 of the Base Indenture, which will be deemed to be replaced with this </w:t>
      </w:r>
      <w:r>
        <w:rPr>
          <w:rFonts w:ascii="Times New Roman;Times;Serif" w:hAnsi="Times New Roman;Times;Serif"/>
          <w:b/>
          <w:i w:val="false"/>
          <w:caps w:val="false"/>
          <w:smallCaps w:val="false"/>
          <w:sz w:val="20"/>
        </w:rPr>
        <w:t>Section 3.02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The Company will send to the Trustee copies of all reports that the Company is required to file with the SEC pursuant to Section 13(a) or 15(d) of the Exchange Act (other than Current Reports on Form 8-K or any successor form) within fifteen (15) calendar days after the date that the Company is required to file the same (after giving effect to all applicable grace periods under the Exchange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need not send to the Trustee any material for which the Company has received, or is seeking in good faith and has not been denied, confidential treatment by the SEC. Any such report that the Company files with the SEC through the EDGAR system (or any successor thereto) will be deemed to be sent to the Trustee at the time such report is so filed via the EDGAR system (or such successor). Upon the request of any Holder, the Trustee will provide to such Holder a copy of any report that the Company has sent the Trustee pursuant to this </w:t>
      </w:r>
      <w:r>
        <w:rPr>
          <w:rFonts w:ascii="Times New Roman;Times;Serif" w:hAnsi="Times New Roman;Times;Serif"/>
          <w:b/>
          <w:i w:val="false"/>
          <w:caps w:val="false"/>
          <w:smallCaps w:val="false"/>
          <w:sz w:val="20"/>
        </w:rPr>
        <w:t>Section 3.02(A)</w:t>
      </w:r>
      <w:r>
        <w:rPr>
          <w:rFonts w:ascii="Times New Roman;Times;Serif" w:hAnsi="Times New Roman;Times;Serif"/>
          <w:b w:val="false"/>
          <w:i w:val="false"/>
          <w:caps w:val="false"/>
          <w:smallCaps w:val="false"/>
          <w:sz w:val="20"/>
        </w:rPr>
        <w:t>, other than a report that is deemed to be sent to the Trustee as a result of the Company filing such report with the SEC through the EDGAR system (or any successor thereto). The Company will also comply with its other obligations under Section 314(a)(1) of the Trust Indenture Act.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“grace periods” referred to in the preceding paragraph with respect to any report will include the maximum period afforded by Rule 12b-25 (or any successor rule thereto) under the Exchange Act regardless of whether the Company files, or indicates in the related Form 12b-25 (or any successor form thereto) that the Company expects to or will file, such report before the expiration of such maximum period.</w:t>
      </w:r>
    </w:p>
    <w:p>
      <w:pPr>
        <w:pStyle w:val="TextBody"/>
        <w:bidi w:val="0"/>
        <w:spacing w:before="0" w:after="0"/>
        <w:ind w:left="360" w:right="0" w:hanging="3"/>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360" w:right="0" w:hanging="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Trustee’s Disclaimer</w:t>
      </w:r>
      <w:r>
        <w:rPr>
          <w:rFonts w:ascii="Times New Roman;Times;Serif" w:hAnsi="Times New Roman;Times;Serif"/>
          <w:b w:val="false"/>
          <w:i w:val="false"/>
          <w:caps w:val="false"/>
          <w:smallCaps w:val="false"/>
          <w:sz w:val="20"/>
        </w:rPr>
        <w:t xml:space="preserve">. The Trustee need not determine whether the Company has filed any material via the EDGAR system (or such successor). The sending or filing of reports, information and documents to the Trustee pursuant to </w:t>
      </w:r>
      <w:r>
        <w:rPr>
          <w:rFonts w:ascii="Times New Roman;Times;Serif" w:hAnsi="Times New Roman;Times;Serif"/>
          <w:b/>
          <w:i w:val="false"/>
          <w:caps w:val="false"/>
          <w:smallCaps w:val="false"/>
          <w:sz w:val="20"/>
        </w:rPr>
        <w:t xml:space="preserve">Section 3.02(A) </w:t>
      </w:r>
      <w:r>
        <w:rPr>
          <w:rFonts w:ascii="Times New Roman;Times;Serif" w:hAnsi="Times New Roman;Times;Serif"/>
          <w:b w:val="false"/>
          <w:i w:val="false"/>
          <w:caps w:val="false"/>
          <w:smallCaps w:val="false"/>
          <w:sz w:val="20"/>
        </w:rPr>
        <w:t>is for informational purposes only and the receipt of such reports and documents will not constitute actual or constructive notice to the Trustee of any information contained, or determinable from information contained, therein, including the Company’s compliance with any of its covenants under the Indenture or the Notes (as to which the Trustee is entitled to rely exclusively on Officer’s Certificates). The Trustee will not be obligated to monitor or confirm, on a continuing basis or otherwise, the Company’s compliance with the covenants under the Indenture or the Notes or with respect to any reports or other documents filed with the SEC through the EDGAR system or any website under the Indenture.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3.03 </w:t>
      </w:r>
      <w:r>
        <w:rPr>
          <w:rFonts w:ascii="Times New Roman;Times;Serif" w:hAnsi="Times New Roman;Times;Serif"/>
          <w:b/>
          <w:i w:val="false"/>
          <w:smallCaps/>
          <w:sz w:val="20"/>
        </w:rPr>
        <w:t>Default Certificates.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Section 3.03 </w:t>
      </w:r>
      <w:r>
        <w:rPr>
          <w:rFonts w:ascii="Times New Roman;Times;Serif" w:hAnsi="Times New Roman;Times;Serif"/>
          <w:b w:val="false"/>
          <w:i w:val="false"/>
          <w:caps w:val="false"/>
          <w:smallCaps w:val="false"/>
          <w:sz w:val="20"/>
        </w:rPr>
        <w:t xml:space="preserve">will apply to the Notes in lieu of Section 7.14 of the Base Indenture, which will be deemed to be replaced with this </w:t>
      </w:r>
      <w:r>
        <w:rPr>
          <w:rFonts w:ascii="Times New Roman;Times;Serif" w:hAnsi="Times New Roman;Times;Serif"/>
          <w:b/>
          <w:i w:val="false"/>
          <w:caps w:val="false"/>
          <w:smallCaps w:val="false"/>
          <w:sz w:val="20"/>
        </w:rPr>
        <w:t>Section 3.03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Default or Event of Default occurs, then the Company will, within thirty (30) days after its first occurrence, deliver an Officer’s Certificate to the Trustee describing the same and what action the Company is taking or proposes to take with respect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will not be required to deliver such Officer’s Certificate at any time after such Default or Event of Default is cured or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3.04 </w:t>
      </w:r>
      <w:r>
        <w:rPr>
          <w:rFonts w:ascii="Times New Roman;Times;Serif" w:hAnsi="Times New Roman;Times;Serif"/>
          <w:b/>
          <w:i w:val="false"/>
          <w:smallCaps/>
          <w:sz w:val="20"/>
        </w:rPr>
        <w:t>Stay, Extension and Usury Laws.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the Indenture; and (B) expressly waives all benefits or advantages of any such law and agrees that it will not, by resort to any such law, hinder, delay or impede the execution of any power granted to the Trustee by the Indenture, but will suffer and permit the execution of every such power as though no such law has been enacted.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3.05 </w:t>
      </w:r>
      <w:r>
        <w:rPr>
          <w:rFonts w:ascii="Times New Roman;Times;Serif" w:hAnsi="Times New Roman;Times;Serif"/>
          <w:b/>
          <w:i w:val="false"/>
          <w:smallCaps/>
          <w:sz w:val="20"/>
        </w:rPr>
        <w:t>Existence.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the Company will do or cause to be done all things necessary to preserve and keep in full force and effect, its corporate existence.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REPURCHASE AND REDEMPTION</w:t>
      </w:r>
    </w:p>
    <w:p>
      <w:pPr>
        <w:pStyle w:val="TextBody"/>
        <w:bidi w:val="0"/>
        <w:spacing w:before="0" w:after="0"/>
        <w:ind w:left="2512"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Article 4</w:t>
      </w:r>
      <w:r>
        <w:rPr>
          <w:rFonts w:ascii="Times New Roman;Times;Serif" w:hAnsi="Times New Roman;Times;Serif"/>
          <w:b w:val="false"/>
          <w:i w:val="false"/>
          <w:caps w:val="false"/>
          <w:smallCaps w:val="false"/>
          <w:sz w:val="20"/>
        </w:rPr>
        <w:t xml:space="preserve"> will apply to the Notes in lieu of Article 3 of the Base Indenture, which will be deemed to be replaced with this </w:t>
      </w:r>
      <w:r>
        <w:rPr>
          <w:rFonts w:ascii="Times New Roman;Times;Serif" w:hAnsi="Times New Roman;Times;Serif"/>
          <w:b/>
          <w:i w:val="false"/>
          <w:caps w:val="false"/>
          <w:smallCaps w:val="false"/>
          <w:sz w:val="20"/>
        </w:rPr>
        <w:t>Article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4.01 </w:t>
      </w:r>
      <w:r>
        <w:rPr>
          <w:rFonts w:ascii="Times New Roman;Times;Serif" w:hAnsi="Times New Roman;Times;Serif"/>
          <w:b/>
          <w:i w:val="false"/>
          <w:smallCaps/>
          <w:sz w:val="20"/>
        </w:rPr>
        <w:t>No Sinking Fund.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sinking fund is required to be provided for the Notes.</w:t>
      </w:r>
    </w:p>
    <w:p>
      <w:pPr>
        <w:pStyle w:val="TextBody"/>
        <w:bidi w:val="0"/>
        <w:spacing w:before="0" w:after="0"/>
        <w:ind w:left="108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4.02 </w:t>
      </w:r>
      <w:r>
        <w:rPr>
          <w:rFonts w:ascii="Times New Roman;Times;Serif" w:hAnsi="Times New Roman;Times;Serif"/>
          <w:b/>
          <w:i w:val="false"/>
          <w:smallCaps/>
          <w:sz w:val="20"/>
        </w:rPr>
        <w:t>Right of Holders to Require the Company to Repurchase Notes Upon a Fundamental Change.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Right of Holders to Require the Company to Repurchase Notes Upon a Fundamental Change</w:t>
      </w:r>
      <w:r>
        <w:rPr>
          <w:rFonts w:ascii="Times New Roman;Times;Serif" w:hAnsi="Times New Roman;Times;Serif"/>
          <w:b w:val="false"/>
          <w:i w:val="false"/>
          <w:caps w:val="false"/>
          <w:smallCaps w:val="false"/>
          <w:sz w:val="20"/>
        </w:rPr>
        <w:t xml:space="preserve">. Subject to the other terms of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if a Fundamental Change occurs, then each Holder will have the right (the “</w:t>
      </w:r>
      <w:r>
        <w:rPr>
          <w:rFonts w:ascii="Times New Roman;Times;Serif" w:hAnsi="Times New Roman;Times;Serif"/>
          <w:b/>
          <w:i w:val="false"/>
          <w:caps w:val="false"/>
          <w:smallCaps w:val="false"/>
          <w:sz w:val="20"/>
        </w:rPr>
        <w:t>Fundamental Change Repurchase Right</w:t>
      </w:r>
      <w:r>
        <w:rPr>
          <w:rFonts w:ascii="Times New Roman;Times;Serif" w:hAnsi="Times New Roman;Times;Serif"/>
          <w:b w:val="false"/>
          <w:i w:val="false"/>
          <w:caps w:val="false"/>
          <w:smallCaps w:val="false"/>
          <w:sz w:val="20"/>
        </w:rPr>
        <w:t>”) to require the Company to repurchase such Holder’s Notes (or any portion thereof in an Authorized Denomination) on the Fundamental Change Repurchase Date for such Fundamental Change for a cash purchase price equal to the Fundamental Change Repurchase Price.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Repurchase Prohibited in Certain Circumstances</w:t>
      </w:r>
      <w:r>
        <w:rPr>
          <w:rFonts w:ascii="Times New Roman;Times;Serif" w:hAnsi="Times New Roman;Times;Serif"/>
          <w:b w:val="false"/>
          <w:i w:val="false"/>
          <w:caps w:val="false"/>
          <w:smallCaps w:val="false"/>
          <w:sz w:val="20"/>
        </w:rPr>
        <w:t xml:space="preserve">. If the principal amount of the Notes has been accelerated and such acceleration has not been rescinded on or before the Fundamental Change Repurchase Date for a Repurchase Upon Fundamental Change (including as a result of the payment of the related Fundamental Change Repurchase Price, and any related interest pursuant to the proviso to the first sentence of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 xml:space="preserve">, on such Fundamental Change Repurchase Date), then (i) the Company may not repurchase any Notes pursuant to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Fundamental Change Repurchase Date</w:t>
      </w:r>
      <w:r>
        <w:rPr>
          <w:rFonts w:ascii="Times New Roman;Times;Serif" w:hAnsi="Times New Roman;Times;Serif"/>
          <w:b w:val="false"/>
          <w:i w:val="false"/>
          <w:caps w:val="false"/>
          <w:smallCaps w:val="false"/>
          <w:sz w:val="20"/>
        </w:rPr>
        <w:t xml:space="preserve">. The Fundamental Change Repurchase Date for any Fundamental Change will be a Business Day of the Company’s choosing that is no more than thirty-five (35), nor less than twenty (20), Business Days after the date the Company sends the related Fundamental Change Notice pursuant to </w:t>
      </w:r>
      <w:r>
        <w:rPr>
          <w:rFonts w:ascii="Times New Roman;Times;Serif" w:hAnsi="Times New Roman;Times;Serif"/>
          <w:b/>
          <w:i w:val="false"/>
          <w:caps w:val="false"/>
          <w:smallCaps w:val="false"/>
          <w:sz w:val="20"/>
        </w:rPr>
        <w:t>Section 4.02(E)</w:t>
      </w:r>
      <w:r>
        <w:rPr>
          <w:rFonts w:ascii="Times New Roman;Times;Serif" w:hAnsi="Times New Roman;Times;Serif"/>
          <w:b w:val="false"/>
          <w:i w:val="false"/>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Fundamental Change Repurchase Price</w:t>
      </w:r>
      <w:r>
        <w:rPr>
          <w:rFonts w:ascii="Times New Roman;Times;Serif" w:hAnsi="Times New Roman;Times;Serif"/>
          <w:b w:val="false"/>
          <w:i w:val="false"/>
          <w:caps w:val="false"/>
          <w:smallCaps w:val="false"/>
          <w:sz w:val="20"/>
        </w:rPr>
        <w:t xml:space="preserve">. The Fundamental Change Repurchase Price for any Note to be repurchased upon a 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Times New Roman;Times;Serif" w:hAnsi="Times New Roman;Times;Serif"/>
          <w:b/>
          <w:i w:val="false"/>
          <w:caps w:val="false"/>
          <w:smallCaps w:val="false"/>
          <w:sz w:val="20"/>
        </w:rPr>
        <w:t xml:space="preserve">Section 2.04(C) </w:t>
      </w:r>
      <w:r>
        <w:rPr>
          <w:rFonts w:ascii="Times New Roman;Times;Serif" w:hAnsi="Times New Roman;Times;Serif"/>
          <w:b w:val="false"/>
          <w:i w:val="false"/>
          <w:caps w:val="false"/>
          <w:smallCaps w:val="false"/>
          <w:sz w:val="20"/>
        </w:rPr>
        <w:t xml:space="preserve">and such Fundamental Change Repurchase Date occurs on the Business Day immediately after such Interest Payment Date, then (x) accrued and unpaid interest on Notes to, but excluding, such Interest Payment Date will be paid, in accordance with </w:t>
      </w:r>
      <w:r>
        <w:rPr>
          <w:rFonts w:ascii="Times New Roman;Times;Serif" w:hAnsi="Times New Roman;Times;Serif"/>
          <w:b/>
          <w:i w:val="false"/>
          <w:caps w:val="false"/>
          <w:smallCaps w:val="false"/>
          <w:sz w:val="20"/>
        </w:rPr>
        <w:t>Section 2.04(C)</w:t>
      </w:r>
      <w:r>
        <w:rPr>
          <w:rFonts w:ascii="Times New Roman;Times;Serif" w:hAnsi="Times New Roman;Times;Serif"/>
          <w:b w:val="false"/>
          <w:i w:val="false"/>
          <w:caps w:val="false"/>
          <w:smallCaps w:val="false"/>
          <w:sz w:val="20"/>
        </w:rPr>
        <w:t>, on the next Business Day to Holders as of the Close of Business on the immediately preceding Regular Record Date; and (y) the Fundamental Change Repurchase Price will include interest on the Notes to be repurchased from, and including, such Interest Payment Date.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Fundamental Change Notice</w:t>
      </w:r>
      <w:r>
        <w:rPr>
          <w:rFonts w:ascii="Times New Roman;Times;Serif" w:hAnsi="Times New Roman;Times;Serif"/>
          <w:b w:val="false"/>
          <w:i w:val="false"/>
          <w:caps w:val="false"/>
          <w:smallCaps w:val="false"/>
          <w:sz w:val="20"/>
        </w:rPr>
        <w:t>. On or before the twentieth (20th) calendar day after the effective date of a Fundamental Change, the Company will send to each Holder, the Trustee, the Conversion Agent (if other than the Trustee) and the Paying Agent a notice of such Fundamental Change (a “</w:t>
      </w:r>
      <w:r>
        <w:rPr>
          <w:rFonts w:ascii="Times New Roman;Times;Serif" w:hAnsi="Times New Roman;Times;Serif"/>
          <w:b/>
          <w:i w:val="false"/>
          <w:caps w:val="false"/>
          <w:smallCaps w:val="false"/>
          <w:sz w:val="20"/>
        </w:rPr>
        <w:t>Fundamental Change Notice</w:t>
      </w:r>
      <w:r>
        <w:rPr>
          <w:rFonts w:ascii="Times New Roman;Times;Serif" w:hAnsi="Times New Roman;Times;Serif"/>
          <w:b w:val="false"/>
          <w:i w:val="false"/>
          <w:caps w:val="false"/>
          <w:smallCaps w:val="false"/>
          <w:sz w:val="20"/>
        </w:rPr>
        <w:t>”).</w:t>
      </w:r>
    </w:p>
    <w:p>
      <w:pPr>
        <w:pStyle w:val="TextBody"/>
        <w:bidi w:val="0"/>
        <w:spacing w:before="0" w:after="0"/>
        <w:ind w:left="361"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Fundamental Change Notice must state: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briefly, the events causing such Fundamental Change;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such Fundamental Change;</w:t>
      </w:r>
    </w:p>
    <w:p>
      <w:pPr>
        <w:pStyle w:val="TextBody"/>
        <w:bidi w:val="0"/>
        <w:spacing w:before="0" w:after="0"/>
        <w:ind w:left="252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procedures that a Holder must follow to require the Company to repurchase its Notes pursuant to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including the deadline for exercising the Fundamental Change Repurchase Right and the procedures for submitting and withdrawing a Fundamental Change Repurchase Notice;</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Fundamental Change Repurchase Date for such Fundamental Change;</w:t>
      </w:r>
    </w:p>
    <w:p>
      <w:pPr>
        <w:pStyle w:val="TextBody"/>
        <w:bidi w:val="0"/>
        <w:spacing w:before="0" w:after="0"/>
        <w:ind w:left="252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the first sentence of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name and address of the Paying Agent and the Conversion Agent;</w:t>
      </w:r>
    </w:p>
    <w:p>
      <w:pPr>
        <w:pStyle w:val="TextBody"/>
        <w:bidi w:val="0"/>
        <w:spacing w:before="0" w:after="0"/>
        <w:ind w:left="252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the Conversion Rate in effect on the date of such Fundamental Change Notice and a description and quantification of any adjustments to the Conversion Rate that may result from such Fundamental Change (including pursuant to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that Notes for which a Fundamental Change Repurchase Notice has been duly tendered and not duly withdrawn must be delivered to the Paying Agent for the Holder thereof to be entitled to receive the Fundamental Change Repurchase Price;</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that Notes (or any portion thereof) that are subject to a Fundamental Change Repurchase Notice that has been duly tendered may be Converted only if such Fundamental Change Repurchase Notice is withdrawn in accordance with the Indenture; and</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CUSIP and ISIN numbers, if any, of the Notes.</w:t>
      </w:r>
    </w:p>
    <w:p>
      <w:pPr>
        <w:pStyle w:val="TextBody"/>
        <w:bidi w:val="0"/>
        <w:spacing w:before="0" w:after="0"/>
        <w:ind w:left="25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Procedures to Exercise the Fundamental Change Repurchase Right</w:t>
      </w:r>
      <w:r>
        <w:rPr>
          <w:rFonts w:ascii="Times New Roman;Times;Serif" w:hAnsi="Times New Roman;Times;Serif"/>
          <w:b w:val="false"/>
          <w:i w:val="false"/>
          <w:caps w:val="false"/>
          <w:smallCaps w:val="false"/>
          <w:sz w:val="20"/>
        </w:rPr>
        <w:t>.</w:t>
      </w:r>
    </w:p>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Delivery of Fundamental Change Repurchase Notice and Notes to Be Repurchased</w:t>
      </w:r>
      <w:r>
        <w:rPr>
          <w:rFonts w:ascii="Times New Roman;Times;Serif" w:hAnsi="Times New Roman;Times;Serif"/>
          <w:b w:val="false"/>
          <w:i w:val="false"/>
          <w:caps w:val="false"/>
          <w:smallCaps w:val="false"/>
          <w:sz w:val="20"/>
        </w:rPr>
        <w:t>. To exercise its Fundamental Change Repurchase Right for a Note following a Fundamental Change, the Holder thereof must deliver to the Paying Agent:</w:t>
      </w:r>
    </w:p>
    <w:p>
      <w:pPr>
        <w:pStyle w:val="TextBody"/>
        <w:bidi w:val="0"/>
        <w:spacing w:before="0" w:after="0"/>
        <w:ind w:left="1081" w:right="0" w:firstLine="717"/>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before the Close of Business on the Business Day immediately before the related Fundamental Change Repurchase Date (or such later time as may be required by law), a duly completed, written Fundamental Change Repurchase Notice with respect to such Note; and</w:t>
      </w:r>
    </w:p>
    <w:p>
      <w:pPr>
        <w:pStyle w:val="TextBody"/>
        <w:bidi w:val="0"/>
        <w:spacing w:before="0" w:after="0"/>
        <w:ind w:left="1081"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such Note, duly endorsed for transfer (if such Note is a Physical Note) or by book-entry transfer (if such Note is a Global Note).</w:t>
      </w:r>
    </w:p>
    <w:p>
      <w:pPr>
        <w:pStyle w:val="TextBody"/>
        <w:bidi w:val="0"/>
        <w:spacing w:before="0" w:after="0"/>
        <w:ind w:left="1081"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Paying Agent will promptly deliver to the Company a copy of each Fundamental Change Repurchase Notice that it receives.</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Contents of Fundamental Change Repurchase Notices</w:t>
      </w:r>
      <w:r>
        <w:rPr>
          <w:rFonts w:ascii="Times New Roman;Times;Serif" w:hAnsi="Times New Roman;Times;Serif"/>
          <w:b w:val="false"/>
          <w:i w:val="false"/>
          <w:caps w:val="false"/>
          <w:smallCaps w:val="false"/>
          <w:sz w:val="20"/>
        </w:rPr>
        <w:t>. Each Fundamental Change Repurchase Notice with respect to a Note must state:</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such Note is a Physical Note, the certificate number of such Note;</w:t>
      </w:r>
    </w:p>
    <w:p>
      <w:pPr>
        <w:pStyle w:val="TextBody"/>
        <w:bidi w:val="0"/>
        <w:spacing w:before="0" w:after="0"/>
        <w:ind w:left="3240" w:right="0" w:hanging="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principal amount of such Note to be repurchased, which must be an Authorized Denomination; and</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that such Holder is exercising its Fundamental Change Repurchase Right with respect to such principal amount of such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Note is a Global Note, then such Fundamental Change Repurchase Notice must comply with the Depositary Procedures (and any such Fundamental Change Repurchase Notice delivered in compliance with the Depositary Procedures will be deemed to satisfy the requirements of this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Withdrawal of Fundamental Change Repurchase Notice</w:t>
      </w:r>
      <w:r>
        <w:rPr>
          <w:rFonts w:ascii="Times New Roman;Times;Serif" w:hAnsi="Times New Roman;Times;Serif"/>
          <w:b w:val="false"/>
          <w:i w:val="false"/>
          <w:caps w:val="false"/>
          <w:smallCaps w:val="false"/>
          <w:sz w:val="20"/>
        </w:rPr>
        <w:t>. A Holder that has delivered a Fundamental Change Repurchase Notice with respect to a Note may withdraw such Fundamental Change Repurchase Notice by delivering a written notice of withdrawal to the Paying Agent at any time before the Close of Business on the Business Day immediately before the related Fundamental Change Repurchase Date (or, if the Company fails to pay the related Fundamental Change Repurchase Price for such Note when due, at any time before such Fundamental Change Repurchase Price is paid in full). Such withdrawal notice must state:</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such Note is a Physical Note, the certificate number of such Note;</w:t>
      </w:r>
    </w:p>
    <w:p>
      <w:pPr>
        <w:pStyle w:val="TextBody"/>
        <w:bidi w:val="0"/>
        <w:spacing w:before="0" w:after="0"/>
        <w:ind w:left="3240" w:right="0" w:hanging="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principal amount of such Note to be withdrawn, which must be an Authorized Denomination; and</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principal amount of such Note, if any, that remains subject to such Fundamental Change Repurchase Notice, which must be an Authorized Denomination;</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Times;Serif" w:hAnsi="Times New Roman;Times;Serif"/>
          <w:b/>
          <w:i w:val="false"/>
          <w:caps w:val="false"/>
          <w:smallCaps w:val="false"/>
          <w:sz w:val="20"/>
        </w:rPr>
        <w:t>Section 2.10</w:t>
      </w:r>
      <w:r>
        <w:rPr>
          <w:rFonts w:ascii="Times New Roman;Times;Serif" w:hAnsi="Times New Roman;Times;Serif"/>
          <w:b w:val="false"/>
          <w:i w:val="false"/>
          <w:caps w:val="false"/>
          <w:smallCaps w:val="false"/>
          <w:sz w:val="20"/>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pStyle w:val="TextBody"/>
        <w:bidi w:val="0"/>
        <w:spacing w:before="0" w:after="0"/>
        <w:ind w:left="108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Payment of the Fundamental Change Repurchase Price</w:t>
      </w:r>
      <w:r>
        <w:rPr>
          <w:rFonts w:ascii="Times New Roman;Times;Serif" w:hAnsi="Times New Roman;Times;Serif"/>
          <w:b w:val="false"/>
          <w:i w:val="false"/>
          <w:caps w:val="false"/>
          <w:smallCaps w:val="false"/>
          <w:sz w:val="20"/>
        </w:rPr>
        <w:t xml:space="preserve">. Without limiting the Company’s obligation to deposit the Fundamental Change Repurchase Price within the time proscribed by </w:t>
      </w:r>
      <w:r>
        <w:rPr>
          <w:rFonts w:ascii="Times New Roman;Times;Serif" w:hAnsi="Times New Roman;Times;Serif"/>
          <w:b/>
          <w:i w:val="false"/>
          <w:caps w:val="false"/>
          <w:smallCaps w:val="false"/>
          <w:sz w:val="20"/>
        </w:rPr>
        <w:t>Section 3.01(B)</w:t>
      </w:r>
      <w:r>
        <w:rPr>
          <w:rFonts w:ascii="Times New Roman;Times;Serif" w:hAnsi="Times New Roman;Times;Serif"/>
          <w:b w:val="false"/>
          <w:i w:val="false"/>
          <w:caps w:val="false"/>
          <w:smallCaps w:val="false"/>
          <w:sz w:val="20"/>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Times;Serif" w:hAnsi="Times New Roman;Times;Serif"/>
          <w:b/>
          <w:i w:val="false"/>
          <w:caps w:val="false"/>
          <w:smallCaps w:val="false"/>
          <w:sz w:val="20"/>
        </w:rPr>
        <w:t xml:space="preserve">Section 4.02(D) </w:t>
      </w:r>
      <w:r>
        <w:rPr>
          <w:rFonts w:ascii="Times New Roman;Times;Serif" w:hAnsi="Times New Roman;Times;Serif"/>
          <w:b w:val="false"/>
          <w:i w:val="false"/>
          <w:caps w:val="false"/>
          <w:smallCaps w:val="false"/>
          <w:sz w:val="20"/>
        </w:rPr>
        <w:t xml:space="preserve">on any Note to be repurchased pursuant to a Repurchase Upon Fundamental Change must be paid pursuant to such proviso regardless of whether such Note is delivered or such Depositary Procedures are complied with pursuant to the first sentence of this </w:t>
      </w:r>
      <w:r>
        <w:rPr>
          <w:rFonts w:ascii="Times New Roman;Times;Serif" w:hAnsi="Times New Roman;Times;Serif"/>
          <w:b/>
          <w:i w:val="false"/>
          <w:caps w:val="false"/>
          <w:smallCaps w:val="false"/>
          <w:sz w:val="20"/>
        </w:rPr>
        <w:t>Section 4.02(G)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Third Party May Conduct Repurchase Offer In Lieu of the Company</w:t>
      </w:r>
      <w:r>
        <w:rPr>
          <w:rFonts w:ascii="Times New Roman;Times;Serif" w:hAnsi="Times New Roman;Times;Serif"/>
          <w:b w:val="false"/>
          <w:i w:val="false"/>
          <w:caps w:val="false"/>
          <w:smallCaps w:val="false"/>
          <w:sz w:val="20"/>
        </w:rPr>
        <w:t xml:space="preserve">. Notwithstanding anything to the contrary in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the Company will be deemed to satisfy its obligations under this </w:t>
      </w:r>
      <w:r>
        <w:rPr>
          <w:rFonts w:ascii="Times New Roman;Times;Serif" w:hAnsi="Times New Roman;Times;Serif"/>
          <w:b/>
          <w:i w:val="false"/>
          <w:caps w:val="false"/>
          <w:smallCaps w:val="false"/>
          <w:sz w:val="20"/>
        </w:rPr>
        <w:t xml:space="preserve">Section 4.02 </w:t>
      </w:r>
      <w:r>
        <w:rPr>
          <w:rFonts w:ascii="Times New Roman;Times;Serif" w:hAnsi="Times New Roman;Times;Serif"/>
          <w:b w:val="false"/>
          <w:i w:val="false"/>
          <w:caps w:val="false"/>
          <w:smallCaps w:val="false"/>
          <w:sz w:val="20"/>
        </w:rPr>
        <w:t xml:space="preserve">if (i) one or more third parties conduct any Repurchase Upon Fundamental Change and related offer to repurchase Notes otherwise required by this </w:t>
      </w:r>
      <w:r>
        <w:rPr>
          <w:rFonts w:ascii="Times New Roman;Times;Serif" w:hAnsi="Times New Roman;Times;Serif"/>
          <w:b/>
          <w:i w:val="false"/>
          <w:caps w:val="false"/>
          <w:smallCaps w:val="false"/>
          <w:sz w:val="20"/>
        </w:rPr>
        <w:t xml:space="preserve">Section 4.02 </w:t>
      </w:r>
      <w:r>
        <w:rPr>
          <w:rFonts w:ascii="Times New Roman;Times;Serif" w:hAnsi="Times New Roman;Times;Serif"/>
          <w:b w:val="false"/>
          <w:i w:val="false"/>
          <w:caps w:val="false"/>
          <w:smallCaps w:val="false"/>
          <w:sz w:val="20"/>
        </w:rPr>
        <w:t xml:space="preserve">in a manner that would have satisfied the requirements of this </w:t>
      </w:r>
      <w:r>
        <w:rPr>
          <w:rFonts w:ascii="Times New Roman;Times;Serif" w:hAnsi="Times New Roman;Times;Serif"/>
          <w:b/>
          <w:i w:val="false"/>
          <w:caps w:val="false"/>
          <w:smallCaps w:val="false"/>
          <w:sz w:val="20"/>
        </w:rPr>
        <w:t xml:space="preserve">Section 4.02 </w:t>
      </w:r>
      <w:r>
        <w:rPr>
          <w:rFonts w:ascii="Times New Roman;Times;Serif" w:hAnsi="Times New Roman;Times;Serif"/>
          <w:b w:val="false"/>
          <w:i w:val="false"/>
          <w:caps w:val="false"/>
          <w:smallCaps w:val="false"/>
          <w:sz w:val="20"/>
        </w:rPr>
        <w:t>if conducted directly by the Company; and (ii) an owner of a beneficial interest in any Note repurchased by such third party or parties will not receive a lesser amount (including as a result of withholding or other similar taxes) than such owner would have received had the Company repurchased such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No Requirement to Conduct an Offer to Repurchase Notes if the Fundamental Change Results in the Notes Becoming Convertible into an Amount of Cash Exceeding the Fundamental Change Repurchase Price</w:t>
      </w:r>
      <w:r>
        <w:rPr>
          <w:rFonts w:ascii="Times New Roman;Times;Serif" w:hAnsi="Times New Roman;Times;Serif"/>
          <w:b w:val="false"/>
          <w:i w:val="false"/>
          <w:caps w:val="false"/>
          <w:smallCaps w:val="false"/>
          <w:sz w:val="20"/>
        </w:rPr>
        <w:t xml:space="preserve">. Notwithstanding anything to the contrary in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the Company will not be required to send a Fundamental Change Notice pursuant to </w:t>
      </w:r>
      <w:r>
        <w:rPr>
          <w:rFonts w:ascii="Times New Roman;Times;Serif" w:hAnsi="Times New Roman;Times;Serif"/>
          <w:b/>
          <w:i w:val="false"/>
          <w:caps w:val="false"/>
          <w:smallCaps w:val="false"/>
          <w:sz w:val="20"/>
        </w:rPr>
        <w:t>Section 4.02(E)</w:t>
      </w:r>
      <w:r>
        <w:rPr>
          <w:rFonts w:ascii="Times New Roman;Times;Serif" w:hAnsi="Times New Roman;Times;Serif"/>
          <w:b w:val="false"/>
          <w:i w:val="false"/>
          <w:caps w:val="false"/>
          <w:smallCaps w:val="false"/>
          <w:sz w:val="20"/>
        </w:rPr>
        <w:t xml:space="preserve">, or offer to repurchase or repurchase any Notes pursuant to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in connection with a Common Stock Change Event that constitutes a Fundamental Change pursuant to </w:t>
      </w:r>
      <w:r>
        <w:rPr>
          <w:rFonts w:ascii="Times New Roman;Times;Serif" w:hAnsi="Times New Roman;Times;Serif"/>
          <w:b/>
          <w:i w:val="false"/>
          <w:caps w:val="false"/>
          <w:smallCaps w:val="false"/>
          <w:sz w:val="20"/>
        </w:rPr>
        <w:t xml:space="preserve">clause (B)(ii) </w:t>
      </w:r>
      <w:r>
        <w:rPr>
          <w:rFonts w:ascii="Times New Roman;Times;Serif" w:hAnsi="Times New Roman;Times;Serif"/>
          <w:b w:val="false"/>
          <w:i w:val="false"/>
          <w:caps w:val="false"/>
          <w:smallCaps w:val="false"/>
          <w:sz w:val="20"/>
        </w:rPr>
        <w:t xml:space="preserve">of the definition thereof (regardless of whether such Common Stock Change Event also constitutes a Fundamental Change pursuant to any other clause of such definition), if (i) the Reference Property of such Common Stock Change Event consists entirely of cash in U.S. dollars; (ii) immediately after such Fundamental Change, the Notes become Convertible, pursuant to </w:t>
      </w:r>
      <w:r>
        <w:rPr>
          <w:rFonts w:ascii="Times New Roman;Times;Serif" w:hAnsi="Times New Roman;Times;Serif"/>
          <w:b/>
          <w:i w:val="false"/>
          <w:caps w:val="false"/>
          <w:smallCaps w:val="false"/>
          <w:sz w:val="20"/>
        </w:rPr>
        <w:t xml:space="preserve">Section 5.09(A) </w:t>
      </w:r>
      <w:r>
        <w:rPr>
          <w:rFonts w:ascii="Times New Roman;Times;Serif" w:hAnsi="Times New Roman;Times;Serif"/>
          <w:b w:val="false"/>
          <w:i w:val="false"/>
          <w:caps w:val="false"/>
          <w:smallCaps w:val="false"/>
          <w:sz w:val="20"/>
        </w:rPr>
        <w:t xml:space="preserve">and, if applicable,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xml:space="preserve">, into consideration that consists solely of U.S. dollars in an amount per $1,000 aggregate principal amount of Notes that equals or exceeds the Fundamental Change Repurchase Price per $1,000 aggregate principal amount of Notes (calculated (x) assuming that such Fundamental Change Repurchase Price includes accrued and unpaid interest to, but excluding, the latest possible Fundamental Change Repurchase Date for such Fundamental Change; and (y) without regard to the proviso to the first sentence of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 xml:space="preserve">); and (iii) the Company timely sends the notice relating to such Fundamental Change and Common Stock Change Event required pursuant to </w:t>
      </w:r>
      <w:r>
        <w:rPr>
          <w:rFonts w:ascii="Times New Roman;Times;Serif" w:hAnsi="Times New Roman;Times;Serif"/>
          <w:b/>
          <w:i w:val="false"/>
          <w:caps w:val="false"/>
          <w:smallCaps w:val="false"/>
          <w:sz w:val="20"/>
        </w:rPr>
        <w:t xml:space="preserve">Section 5.09(B), </w:t>
      </w:r>
      <w:r>
        <w:rPr>
          <w:rFonts w:ascii="Times New Roman;Times;Serif" w:hAnsi="Times New Roman;Times;Serif"/>
          <w:b w:val="false"/>
          <w:i w:val="false"/>
          <w:caps w:val="false"/>
          <w:smallCaps w:val="false"/>
          <w:sz w:val="20"/>
        </w:rPr>
        <w:t xml:space="preserve">and includes, in such notice, the information set forth in </w:t>
      </w:r>
      <w:r>
        <w:rPr>
          <w:rFonts w:ascii="Times New Roman;Times;Serif" w:hAnsi="Times New Roman;Times;Serif"/>
          <w:b/>
          <w:i w:val="false"/>
          <w:caps w:val="false"/>
          <w:smallCaps w:val="false"/>
          <w:sz w:val="20"/>
        </w:rPr>
        <w:t xml:space="preserve">clauses (i), (ii), (vi), (vii) and (x) </w:t>
      </w:r>
      <w:r>
        <w:rPr>
          <w:rFonts w:ascii="Times New Roman;Times;Serif" w:hAnsi="Times New Roman;Times;Serif"/>
          <w:b w:val="false"/>
          <w:i w:val="false"/>
          <w:caps w:val="false"/>
          <w:smallCaps w:val="false"/>
          <w:sz w:val="20"/>
        </w:rPr>
        <w:t xml:space="preserve">of </w:t>
      </w:r>
      <w:r>
        <w:rPr>
          <w:rFonts w:ascii="Times New Roman;Times;Serif" w:hAnsi="Times New Roman;Times;Serif"/>
          <w:b/>
          <w:i w:val="false"/>
          <w:caps w:val="false"/>
          <w:smallCaps w:val="false"/>
          <w:sz w:val="20"/>
        </w:rPr>
        <w:t xml:space="preserve">Section 4.02(E) </w:t>
      </w:r>
      <w:r>
        <w:rPr>
          <w:rFonts w:ascii="Times New Roman;Times;Serif" w:hAnsi="Times New Roman;Times;Serif"/>
          <w:b w:val="false"/>
          <w:i w:val="false"/>
          <w:caps w:val="false"/>
          <w:smallCaps w:val="false"/>
          <w:sz w:val="20"/>
        </w:rPr>
        <w:t xml:space="preserve">and a statement that the Company is relying on this </w:t>
      </w:r>
      <w:r>
        <w:rPr>
          <w:rFonts w:ascii="Times New Roman;Times;Serif" w:hAnsi="Times New Roman;Times;Serif"/>
          <w:b/>
          <w:i w:val="false"/>
          <w:caps w:val="false"/>
          <w:smallCaps w:val="false"/>
          <w:sz w:val="20"/>
        </w:rPr>
        <w:t>Section 4.02(I)</w:t>
      </w:r>
      <w:r>
        <w:rPr>
          <w:rFonts w:ascii="Times New Roman;Times;Serif" w:hAnsi="Times New Roman;Times;Serif"/>
          <w:b w:val="false"/>
          <w:i w:val="false"/>
          <w:caps w:val="false"/>
          <w:smallCaps w:val="false"/>
          <w:sz w:val="20"/>
        </w:rPr>
        <w:t>.</w:t>
      </w:r>
    </w:p>
    <w:p>
      <w:pPr>
        <w:pStyle w:val="TextBody"/>
        <w:bidi w:val="0"/>
        <w:spacing w:before="0" w:after="0"/>
        <w:ind w:left="0" w:right="0" w:firstLine="114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Compliance with Applicable Securities Laws</w:t>
      </w:r>
      <w:r>
        <w:rPr>
          <w:rFonts w:ascii="Times New Roman;Times;Serif" w:hAnsi="Times New Roman;Times;Serif"/>
          <w:b w:val="false"/>
          <w:i w:val="false"/>
          <w:caps w:val="false"/>
          <w:smallCaps w:val="false"/>
          <w:sz w:val="20"/>
        </w:rPr>
        <w:t xml:space="preserve">. To the extent applicable, the Company will comply, in all material respects, with all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the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to the extent that the Company’s obligations pursuant to this </w:t>
      </w:r>
      <w:r>
        <w:rPr>
          <w:rFonts w:ascii="Times New Roman;Times;Serif" w:hAnsi="Times New Roman;Times;Serif"/>
          <w:b/>
          <w:i w:val="false"/>
          <w:caps w:val="false"/>
          <w:smallCaps w:val="false"/>
          <w:sz w:val="20"/>
        </w:rPr>
        <w:t xml:space="preserve">Section 4.02 </w:t>
      </w:r>
      <w:r>
        <w:rPr>
          <w:rFonts w:ascii="Times New Roman;Times;Serif" w:hAnsi="Times New Roman;Times;Serif"/>
          <w:b w:val="false"/>
          <w:i w:val="false"/>
          <w:caps w:val="false"/>
          <w:smallCaps w:val="false"/>
          <w:sz w:val="20"/>
        </w:rPr>
        <w:t xml:space="preserve">conflict with any law or regulation that is applicable to the Company and enacted after the Issue Date, the Company’s compliance with such law or regulation will not be considered to be a Default of such obligations; rather, the Company will be deemed to be in compliance with such obligations if the Company complies with its obligation to effect Repurchases Upon a Fundamental Change in accordance with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modified as necessary by the Company in good faith to permit compliance with such law or regulation.</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Repurchase in Part</w:t>
      </w:r>
      <w:r>
        <w:rPr>
          <w:rFonts w:ascii="Times New Roman;Times;Serif" w:hAnsi="Times New Roman;Times;Serif"/>
          <w:b w:val="false"/>
          <w:i w:val="false"/>
          <w:caps w:val="false"/>
          <w:smallCaps w:val="false"/>
          <w:sz w:val="20"/>
        </w:rPr>
        <w:t xml:space="preserve">. Subject to the terms of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Notes may be repurchased pursuant to a Repurchase Upon Fundamental Change in part, but only in Authorized Denominations. Provisions of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applying to the repurchase of a Note in whole will equally apply to the repurchase of a permitted portion of a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4.03 </w:t>
      </w:r>
      <w:r>
        <w:rPr>
          <w:rFonts w:ascii="Times New Roman;Times;Serif" w:hAnsi="Times New Roman;Times;Serif"/>
          <w:b/>
          <w:i w:val="false"/>
          <w:smallCaps/>
          <w:sz w:val="20"/>
        </w:rPr>
        <w:t>Right of the Company to Redeem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No Right to Redeem Before August 6, 2029.</w:t>
      </w:r>
      <w:r>
        <w:rPr>
          <w:rFonts w:ascii="Times New Roman;Times;Serif" w:hAnsi="Times New Roman;Times;Serif"/>
          <w:b w:val="false"/>
          <w:i w:val="false"/>
          <w:caps w:val="false"/>
          <w:smallCaps w:val="false"/>
          <w:sz w:val="20"/>
        </w:rPr>
        <w:t xml:space="preserve"> The Company may not redeem the Notes at its option at any time before August 6, 2029.</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Right to Redeem the Notes on or After August 6, 2029. </w:t>
      </w:r>
      <w:r>
        <w:rPr>
          <w:rFonts w:ascii="Times New Roman;Times;Serif" w:hAnsi="Times New Roman;Times;Serif"/>
          <w:b w:val="false"/>
          <w:i w:val="false"/>
          <w:caps w:val="false"/>
          <w:smallCaps w:val="false"/>
          <w:sz w:val="20"/>
        </w:rPr>
        <w:t xml:space="preserve">Subject to the terms of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the Company has the right, at its election, to redeem all, or any portion (subject to the Partial Redemption Limitation described below) in an Authorized Denomination, of the Notes, at any time, and from time to time, on a Redemption Date on or after August 6, 2029 and on or before the thirty-first (31st) Scheduled Trading Day immediately before the Maturity Date, for a cash purchase price equal to the Redemption Price, but only if the Last Reported Sale Price per share of Common Stock exceeds one hundred and thirty percent (130%) of the Conversion Price on (x) each of at least twenty (20) Trading Days (whether or not consecutive) during the thirty (30) consecutive Trading Days ending on, and including, the Trading Day immediately before such Redemption Notice Date; and (y) the Trading Day immediately before such Redemption Notice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will not call less than all of the outstanding Notes for Redemption unless the excess of the principal amount of Notes outstanding as of the time the Company sends the related Redemption Notice over the aggregate principal amount of Notes set forth in such Redemption Notice as being subject to such Redemption is at least fifty million dollars ($50,000,000) (such limitation, the “</w:t>
      </w:r>
      <w:r>
        <w:rPr>
          <w:rFonts w:ascii="Times New Roman;Times;Serif" w:hAnsi="Times New Roman;Times;Serif"/>
          <w:b/>
          <w:i w:val="false"/>
          <w:caps w:val="false"/>
          <w:smallCaps w:val="false"/>
          <w:sz w:val="20"/>
        </w:rPr>
        <w:t>Partial Redemption Limitation</w:t>
      </w:r>
      <w:r>
        <w:rPr>
          <w:rFonts w:ascii="Times New Roman;Times;Serif" w:hAnsi="Times New Roman;Times;Serif"/>
          <w:b w:val="false"/>
          <w:i w:val="false"/>
          <w:caps w:val="false"/>
          <w:smallCaps w:val="false"/>
          <w:sz w:val="20"/>
        </w:rPr>
        <w:t xml:space="preserve">”). For the avoidance of doubt, the calling (or the deemed calling, as provided in </w:t>
      </w:r>
      <w:r>
        <w:rPr>
          <w:rFonts w:ascii="Times New Roman;Times;Serif" w:hAnsi="Times New Roman;Times;Serif"/>
          <w:b/>
          <w:i w:val="false"/>
          <w:caps w:val="false"/>
          <w:smallCaps w:val="false"/>
          <w:sz w:val="20"/>
        </w:rPr>
        <w:t>Section 4.03(I)</w:t>
      </w:r>
      <w:r>
        <w:rPr>
          <w:rFonts w:ascii="Times New Roman;Times;Serif" w:hAnsi="Times New Roman;Times;Serif"/>
          <w:b w:val="false"/>
          <w:i w:val="false"/>
          <w:caps w:val="false"/>
          <w:smallCaps w:val="false"/>
          <w:sz w:val="20"/>
        </w:rPr>
        <w:t xml:space="preserve">) of any Notes for Redemption will constitute a Make-Whole Fundamental Change with respect to such Notes called (or deemed called) for Redemption (and not with respect to any other Notes) pursuant to </w:t>
      </w:r>
      <w:r>
        <w:rPr>
          <w:rFonts w:ascii="Times New Roman;Times;Serif" w:hAnsi="Times New Roman;Times;Serif"/>
          <w:b/>
          <w:i w:val="false"/>
          <w:caps w:val="false"/>
          <w:smallCaps w:val="false"/>
          <w:sz w:val="20"/>
        </w:rPr>
        <w:t xml:space="preserve">clause (B) </w:t>
      </w:r>
      <w:r>
        <w:rPr>
          <w:rFonts w:ascii="Times New Roman;Times;Serif" w:hAnsi="Times New Roman;Times;Serif"/>
          <w:b w:val="false"/>
          <w:i w:val="false"/>
          <w:caps w:val="false"/>
          <w:smallCaps w:val="false"/>
          <w:sz w:val="20"/>
        </w:rPr>
        <w:t>of the definition thereof.</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Redemption Prohibited in Certain Circumstances</w:t>
      </w:r>
      <w:r>
        <w:rPr>
          <w:rFonts w:ascii="Times New Roman;Times;Serif" w:hAnsi="Times New Roman;Times;Serif"/>
          <w:b w:val="false"/>
          <w:i w:val="false"/>
          <w:caps w:val="false"/>
          <w:smallCaps w:val="false"/>
          <w:sz w:val="20"/>
        </w:rPr>
        <w:t xml:space="preserve">. If the principal amount of the Notes has been accelerated and such acceleration has not been rescinded on or before the Redemption Date (including as a result of the payment of the related Redemption Price, and any related interest pursuant to the proviso to the first sentence of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 xml:space="preserve">, on such Redemption Date), then (i) the Company may not call for Redemption or otherwise redeem any Notes pursuant to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Redemption Date</w:t>
      </w:r>
      <w:r>
        <w:rPr>
          <w:rFonts w:ascii="Times New Roman;Times;Serif" w:hAnsi="Times New Roman;Times;Serif"/>
          <w:b w:val="false"/>
          <w:i w:val="false"/>
          <w:caps w:val="false"/>
          <w:smallCaps w:val="false"/>
          <w:sz w:val="20"/>
        </w:rPr>
        <w:t>. The Redemption Date for any Redemption will be a Business Day of the Company’s choosing that is no more than fifty-five (55), nor less than thirty-five (35), Scheduled Trading Days after the Redemption Notice Date for such Redemption.</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Redemption Price</w:t>
      </w:r>
      <w:r>
        <w:rPr>
          <w:rFonts w:ascii="Times New Roman;Times;Serif" w:hAnsi="Times New Roman;Times;Serif"/>
          <w:b w:val="false"/>
          <w:i w:val="false"/>
          <w:caps w:val="false"/>
          <w:smallCaps w:val="false"/>
          <w:sz w:val="20"/>
        </w:rPr>
        <w:t xml:space="preserve">. The Redemption Price for any Note called for Redemption is an amount in cash equal to the principal amount of such Note plus accrued and unpaid interest on such Note to, but excluding, the Redemption Date for such Redemption;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Times;Serif" w:hAnsi="Times New Roman;Times;Serif"/>
          <w:b/>
          <w:i w:val="false"/>
          <w:caps w:val="false"/>
          <w:smallCaps w:val="false"/>
          <w:sz w:val="20"/>
        </w:rPr>
        <w:t xml:space="preserve">Section 2.04(C) </w:t>
      </w:r>
      <w:r>
        <w:rPr>
          <w:rFonts w:ascii="Times New Roman;Times;Serif" w:hAnsi="Times New Roman;Times;Serif"/>
          <w:b w:val="false"/>
          <w:i w:val="false"/>
          <w:caps w:val="false"/>
          <w:smallCaps w:val="false"/>
          <w:sz w:val="20"/>
        </w:rPr>
        <w:t xml:space="preserve">and such Redemption Date occurs on the Business Day immediately after such Interest Payment Date, then (x) accrued and unpaid interest on Notes to, but excluding, such Interest Payment Date will be paid, in accordance with </w:t>
      </w:r>
      <w:r>
        <w:rPr>
          <w:rFonts w:ascii="Times New Roman;Times;Serif" w:hAnsi="Times New Roman;Times;Serif"/>
          <w:b/>
          <w:i w:val="false"/>
          <w:caps w:val="false"/>
          <w:smallCaps w:val="false"/>
          <w:sz w:val="20"/>
        </w:rPr>
        <w:t>Section 2.04(C)</w:t>
      </w:r>
      <w:r>
        <w:rPr>
          <w:rFonts w:ascii="Times New Roman;Times;Serif" w:hAnsi="Times New Roman;Times;Serif"/>
          <w:b w:val="false"/>
          <w:i w:val="false"/>
          <w:caps w:val="false"/>
          <w:smallCaps w:val="false"/>
          <w:sz w:val="20"/>
        </w:rPr>
        <w:t>, on the next Business Day to Holders as of the Close of Business on the immediately preceding Regular Record Date; and (y) the Redemption Price will include interest on Notes to be redeemed from, and including, such Interest Payment Date.</w:t>
      </w:r>
    </w:p>
    <w:p>
      <w:pPr>
        <w:pStyle w:val="TextBody"/>
        <w:bidi w:val="0"/>
        <w:spacing w:before="0" w:after="0"/>
        <w:ind w:left="36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Redemption Notice</w:t>
      </w:r>
      <w:r>
        <w:rPr>
          <w:rFonts w:ascii="Times New Roman;Times;Serif" w:hAnsi="Times New Roman;Times;Serif"/>
          <w:b w:val="false"/>
          <w:i w:val="false"/>
          <w:caps w:val="false"/>
          <w:smallCaps w:val="false"/>
          <w:sz w:val="20"/>
        </w:rPr>
        <w:t>. To call any Notes for Redemption, the Company must send to each Holder of such Notes a written notice of such Redemption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Redemption Notice must state: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such Notes have been called for Redemption, briefly describing the Company’s Redemption right under the Indenture;</w:t>
      </w:r>
    </w:p>
    <w:p>
      <w:pPr>
        <w:pStyle w:val="TextBody"/>
        <w:bidi w:val="0"/>
        <w:spacing w:before="0" w:after="0"/>
        <w:ind w:left="1080" w:right="0" w:firstLine="718"/>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Date for such Redemption;</w:t>
      </w:r>
    </w:p>
    <w:p>
      <w:pPr>
        <w:pStyle w:val="TextBody"/>
        <w:bidi w:val="0"/>
        <w:spacing w:before="0" w:after="0"/>
        <w:ind w:left="252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Redemption Price per $1,000 principal amount of Notes for such Redemption (and, if the Redemption Date is after a Regular Record Date and on or before the next Interest Payment Date, the amount, manner and timing of the interest payment payable pursuant to the proviso to the first sentence of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name and address of the Paying Agent and the Conversion Agent;</w:t>
      </w:r>
    </w:p>
    <w:p>
      <w:pPr>
        <w:pStyle w:val="TextBody"/>
        <w:bidi w:val="0"/>
        <w:spacing w:before="0" w:after="0"/>
        <w:ind w:left="252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Notes called for Redemption may be Converted at any time before the Close of Business on the Business Day immediately before the Redemption Date (or, if the Company fails to pay the Redemption Price due on such Redemption Date in full, at any time until such time as the Company pays such Redemption Price in full);</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Conversion Rate in effect on the Redemption Notice Date for such Redemption and a description and quantification of any adjustments to the Conversion Rate that may result from such Redemption (including pursuant to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Settlement Method that will apply to all Conversions of Notes with a Conversion Date that occurs on or after such Redemption Notice Date and on or before the second (2nd) Business Day before such Redemption Date;</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if applicable, that Conversions of Notes will be settled in the manner set forth in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xml:space="preserve"> of the proviso in </w:t>
      </w:r>
      <w:r>
        <w:rPr>
          <w:rFonts w:ascii="Times New Roman;Times;Serif" w:hAnsi="Times New Roman;Times;Serif"/>
          <w:b/>
          <w:i w:val="false"/>
          <w:caps w:val="false"/>
          <w:smallCaps w:val="false"/>
          <w:sz w:val="20"/>
        </w:rPr>
        <w:t>Section 5.03(C)</w:t>
      </w:r>
      <w:r>
        <w:rPr>
          <w:rFonts w:ascii="Times New Roman;Times;Serif" w:hAnsi="Times New Roman;Times;Serif"/>
          <w:b w:val="false"/>
          <w:i w:val="false"/>
          <w:caps w:val="false"/>
          <w:smallCaps w:val="false"/>
          <w:sz w:val="20"/>
        </w:rPr>
        <w: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that Notes called for Redemption must be delivered to the Paying Agent (in the case of Physical Notes) or the Depositary Procedures must be complied with (in the case of Global Notes) for the Holder thereof to be entitled to receive the Redemption Price; and</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CUSIP and ISIN numbers, if any, of the Notes.</w:t>
      </w:r>
    </w:p>
    <w:p>
      <w:pPr>
        <w:pStyle w:val="TextBody"/>
        <w:bidi w:val="0"/>
        <w:spacing w:before="0" w:after="0"/>
        <w:ind w:left="25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Redemption Notice Date, the Company will send a copy of such Redemption Notice to the Trustee, the Conversion Agent (if other than the Trustee) and the Paying Agent (if other than the Trustee).</w:t>
      </w:r>
    </w:p>
    <w:p>
      <w:pPr>
        <w:pStyle w:val="TextBody"/>
        <w:bidi w:val="0"/>
        <w:spacing w:before="0" w:after="0"/>
        <w:ind w:left="36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Selection and Conversion of Notes to Be Redeemed in Part.</w:t>
      </w:r>
    </w:p>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fewer than all Notes then outstanding are called for Redemption, then the Notes to be redeemed will be selected by the Trustee as follows: (1) in the case of Global Notes, in accordance with the Depositary Procedures; and (2) in the case of Physical Notes, pro rata, by lot.</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only a portion of a Note is subject to Redemption and such Note is Converted in part, then the Converted portion of such Note will be deemed to be from the portion of such Note that was subject to Redemption, subject, in the case of any Global Note, to the Depositary Procedures.</w:t>
      </w:r>
    </w:p>
    <w:p>
      <w:pPr>
        <w:pStyle w:val="TextBody"/>
        <w:bidi w:val="0"/>
        <w:spacing w:before="0" w:after="0"/>
        <w:ind w:left="1080" w:right="0" w:firstLine="71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Payment of the Redemption Price</w:t>
      </w:r>
      <w:r>
        <w:rPr>
          <w:rFonts w:ascii="Times New Roman;Times;Serif" w:hAnsi="Times New Roman;Times;Serif"/>
          <w:b w:val="false"/>
          <w:i w:val="false"/>
          <w:caps w:val="false"/>
          <w:smallCaps w:val="false"/>
          <w:sz w:val="20"/>
        </w:rPr>
        <w:t xml:space="preserve">. Without limiting the Company’s obligation to deposit the Redemption Price by the time proscribed by </w:t>
      </w:r>
      <w:r>
        <w:rPr>
          <w:rFonts w:ascii="Times New Roman;Times;Serif" w:hAnsi="Times New Roman;Times;Serif"/>
          <w:b/>
          <w:i w:val="false"/>
          <w:caps w:val="false"/>
          <w:smallCaps w:val="false"/>
          <w:sz w:val="20"/>
        </w:rPr>
        <w:t>Section 3.01(B)</w:t>
      </w:r>
      <w:r>
        <w:rPr>
          <w:rFonts w:ascii="Times New Roman;Times;Serif" w:hAnsi="Times New Roman;Times;Serif"/>
          <w:b w:val="false"/>
          <w:i w:val="false"/>
          <w:caps w:val="false"/>
          <w:smallCaps w:val="false"/>
          <w:sz w:val="20"/>
        </w:rPr>
        <w:t xml:space="preserve">, the Company will cause the Redemption Price for a Note (or portion thereof) subject to Redemption to be paid to the Holder thereof on or before the applicable Redemption Date. For the avoidance of doubt, interest payable pursuant to the proviso to the first sentence of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 xml:space="preserve"> on any Note (or portion thereof) subject to Redemption must be paid pursuant to such proviso.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Special Provisions for Partial Calls</w:t>
      </w:r>
      <w:r>
        <w:rPr>
          <w:rFonts w:ascii="Times New Roman;Times;Serif" w:hAnsi="Times New Roman;Times;Serif"/>
          <w:b w:val="false"/>
          <w:i w:val="false"/>
          <w:caps w:val="false"/>
          <w:smallCaps w:val="false"/>
          <w:sz w:val="20"/>
        </w:rPr>
        <w:t xml:space="preserve">. If the Company elects to redeem fewer than all of the outstanding Notes pursuant to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and the Holder of any Note, or any owner of a beneficial interest in any Global Note, is reasonably not able to determine, before the Close of Business on the thirty-second (32nd) Scheduled Trading Day immediately before the Redemption Date for such Redemption, whether such Note or beneficial interest, as applicable, is to be redeemed pursuant to such Redemption, then such Holder or owner, as applicable, will be entitled to Convert such Note or beneficial interest, as applicable, at any time before the Close of Business on the Business Day immediately before such Redemption Date, and each such Conversion will be deemed to be of a Note called for Redemption for purposes of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and the definition of Make-Whole Fundamental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Repurchases or Other Acquisitions Other Than by Redemption Not Affected</w:t>
      </w:r>
      <w:r>
        <w:rPr>
          <w:rFonts w:ascii="Times New Roman;Times;Serif" w:hAnsi="Times New Roman;Times;Serif"/>
          <w:b w:val="false"/>
          <w:i w:val="false"/>
          <w:caps w:val="false"/>
          <w:smallCaps w:val="false"/>
          <w:sz w:val="20"/>
        </w:rPr>
        <w:t xml:space="preserve">. For the avoidance of doubt, nothing in this </w:t>
      </w:r>
      <w:r>
        <w:rPr>
          <w:rFonts w:ascii="Times New Roman;Times;Serif" w:hAnsi="Times New Roman;Times;Serif"/>
          <w:b/>
          <w:i w:val="false"/>
          <w:caps w:val="false"/>
          <w:smallCaps w:val="false"/>
          <w:sz w:val="20"/>
        </w:rPr>
        <w:t xml:space="preserve">Section 4.03 </w:t>
      </w:r>
      <w:r>
        <w:rPr>
          <w:rFonts w:ascii="Times New Roman;Times;Serif" w:hAnsi="Times New Roman;Times;Serif"/>
          <w:b w:val="false"/>
          <w:i w:val="false"/>
          <w:caps w:val="false"/>
          <w:smallCaps w:val="false"/>
          <w:sz w:val="20"/>
        </w:rPr>
        <w:t xml:space="preserve">will limit or otherwise apply to any repurchase or other acquisition, by the Company or its Affiliates, or any other Person, of any Notes not effected by Redemption pursuant to this </w:t>
      </w:r>
      <w:r>
        <w:rPr>
          <w:rFonts w:ascii="Times New Roman;Times;Serif" w:hAnsi="Times New Roman;Times;Serif"/>
          <w:b/>
          <w:i w:val="false"/>
          <w:caps w:val="false"/>
          <w:smallCaps w:val="false"/>
          <w:sz w:val="20"/>
        </w:rPr>
        <w:t xml:space="preserve">Section 4.03 </w:t>
      </w:r>
      <w:r>
        <w:rPr>
          <w:rFonts w:ascii="Times New Roman;Times;Serif" w:hAnsi="Times New Roman;Times;Serif"/>
          <w:b w:val="false"/>
          <w:i w:val="false"/>
          <w:caps w:val="false"/>
          <w:smallCaps w:val="false"/>
          <w:sz w:val="20"/>
        </w:rPr>
        <w:t>(including in open market transactions, private or public tender or exchange offers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THE CONVERSION OF NOTES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5.01 </w:t>
      </w:r>
      <w:r>
        <w:rPr>
          <w:rFonts w:ascii="Times New Roman;Times;Serif" w:hAnsi="Times New Roman;Times;Serif"/>
          <w:b/>
          <w:i w:val="false"/>
          <w:smallCaps/>
          <w:sz w:val="20"/>
        </w:rPr>
        <w:t>Right to Convert.</w:t>
      </w:r>
    </w:p>
    <w:p>
      <w:pPr>
        <w:pStyle w:val="TextBody"/>
        <w:bidi w:val="0"/>
        <w:spacing w:before="0" w:after="0"/>
        <w:ind w:left="0" w:right="0" w:firstLine="237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the provisions of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each Holder may, at its option, Convert such Holder’s Notes into Conversion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Conversions in Part</w:t>
      </w:r>
      <w:r>
        <w:rPr>
          <w:rFonts w:ascii="Times New Roman;Times;Serif" w:hAnsi="Times New Roman;Times;Serif"/>
          <w:b w:val="false"/>
          <w:i w:val="false"/>
          <w:caps w:val="false"/>
          <w:smallCaps w:val="false"/>
          <w:sz w:val="20"/>
        </w:rPr>
        <w:t xml:space="preserve">. Subject to the terms of the Indenture, Notes may be Converted in part, but only in Authorized Denominations. Provisions of this </w:t>
      </w:r>
      <w:r>
        <w:rPr>
          <w:rFonts w:ascii="Times New Roman;Times;Serif" w:hAnsi="Times New Roman;Times;Serif"/>
          <w:b/>
          <w:i w:val="false"/>
          <w:caps w:val="false"/>
          <w:smallCaps w:val="false"/>
          <w:sz w:val="20"/>
        </w:rPr>
        <w:t xml:space="preserve">Article 5 </w:t>
      </w:r>
      <w:r>
        <w:rPr>
          <w:rFonts w:ascii="Times New Roman;Times;Serif" w:hAnsi="Times New Roman;Times;Serif"/>
          <w:b w:val="false"/>
          <w:i w:val="false"/>
          <w:caps w:val="false"/>
          <w:smallCaps w:val="false"/>
          <w:sz w:val="20"/>
        </w:rPr>
        <w:t>applying to the Conversion of a Note in whole will equally apply to Conversions of a permitted portion of a Note.</w:t>
      </w:r>
    </w:p>
    <w:p>
      <w:pPr>
        <w:pStyle w:val="TextBody"/>
        <w:bidi w:val="0"/>
        <w:spacing w:before="0" w:after="0"/>
        <w:ind w:left="36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When Notes May Be Converted</w:t>
      </w:r>
      <w:r>
        <w:rPr>
          <w:rFonts w:ascii="Times New Roman;Times;Serif" w:hAnsi="Times New Roman;Times;Serif"/>
          <w:b w:val="false"/>
          <w:i w:val="false"/>
          <w:caps w:val="false"/>
          <w:smallCaps w:val="false"/>
          <w:sz w:val="20"/>
        </w:rPr>
        <w:t>.</w:t>
      </w:r>
    </w:p>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Section 5.01(C)(ii)</w:t>
      </w:r>
      <w:r>
        <w:rPr>
          <w:rFonts w:ascii="Times New Roman;Times;Serif" w:hAnsi="Times New Roman;Times;Serif"/>
          <w:b w:val="false"/>
          <w:i w:val="false"/>
          <w:caps w:val="false"/>
          <w:smallCaps w:val="false"/>
          <w:sz w:val="20"/>
        </w:rPr>
        <w:t>, a Note may be Converted only in the following circumstances:</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Conversion Upon Satisfaction of Common Stock Sale Price Condition</w:t>
      </w:r>
      <w:r>
        <w:rPr>
          <w:rFonts w:ascii="Times New Roman;Times;Serif" w:hAnsi="Times New Roman;Times;Serif"/>
          <w:b w:val="false"/>
          <w:i w:val="false"/>
          <w:caps w:val="false"/>
          <w:smallCaps w:val="false"/>
          <w:sz w:val="20"/>
        </w:rPr>
        <w:t>. A Holder may Convert its Notes during any calendar quarter (and only during such calendar quarter) commencing after the calendar quarter ending on September 30, 2026, if the Last Reported Sale Price per share of Common Stock exceeds one hundred and thirty percent (130%) of the Conversion Price for each of at least twenty (20) Trading Days (whether or not consecutive) during the thirty (30) consecutive Trading Days ending on, and including, the last Trading Day of the immediately preceding calendar quarter.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Conversion Upon Satisfaction of Note Trading Price Condition</w:t>
      </w:r>
      <w:r>
        <w:rPr>
          <w:rFonts w:ascii="Times New Roman;Times;Serif" w:hAnsi="Times New Roman;Times;Serif"/>
          <w:b w:val="false"/>
          <w:i w:val="false"/>
          <w:caps w:val="false"/>
          <w:smallCaps w:val="false"/>
          <w:sz w:val="20"/>
        </w:rPr>
        <w:t>. A Holder may Convert its Notes during the five (5) consecutive Business Days immediately after any ten (10) consecutive Trading Day period (such ten (10) consecutive Trading Day period, the “</w:t>
      </w:r>
      <w:r>
        <w:rPr>
          <w:rFonts w:ascii="Times New Roman;Times;Serif" w:hAnsi="Times New Roman;Times;Serif"/>
          <w:b/>
          <w:i w:val="false"/>
          <w:caps w:val="false"/>
          <w:smallCaps w:val="false"/>
          <w:sz w:val="20"/>
        </w:rPr>
        <w:t>Measurement Period</w:t>
      </w:r>
      <w:r>
        <w:rPr>
          <w:rFonts w:ascii="Times New Roman;Times;Serif" w:hAnsi="Times New Roman;Times;Serif"/>
          <w:b w:val="false"/>
          <w:i w:val="false"/>
          <w:caps w:val="false"/>
          <w:smallCaps w:val="false"/>
          <w:sz w:val="20"/>
        </w:rPr>
        <w:t>”) if the Trading Price per $1,000 principal amount of Notes, as determined following a request by a Holder or Holders in accordance with the procedures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this Supplemental Indenture as the “</w:t>
      </w:r>
      <w:r>
        <w:rPr>
          <w:rFonts w:ascii="Times New Roman;Times;Serif" w:hAnsi="Times New Roman;Times;Serif"/>
          <w:b/>
          <w:i w:val="false"/>
          <w:caps w:val="false"/>
          <w:smallCaps w:val="false"/>
          <w:sz w:val="20"/>
        </w:rPr>
        <w:t>Trading Price Condition</w:t>
      </w:r>
      <w:r>
        <w:rPr>
          <w:rFonts w:ascii="Times New Roman;Times;Serif" w:hAnsi="Times New Roman;Times;Serif"/>
          <w:b w:val="false"/>
          <w:i w:val="false"/>
          <w:caps w:val="false"/>
          <w:smallCaps w:val="false"/>
          <w:sz w:val="20"/>
        </w:rPr>
        <w: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Trading Price will be determined by the Bid Solicitation Agent pursuant to this </w:t>
      </w:r>
      <w:r>
        <w:rPr>
          <w:rFonts w:ascii="Times New Roman;Times;Serif" w:hAnsi="Times New Roman;Times;Serif"/>
          <w:b/>
          <w:i w:val="false"/>
          <w:caps w:val="false"/>
          <w:smallCaps w:val="false"/>
          <w:sz w:val="20"/>
        </w:rPr>
        <w:t xml:space="preserve">Section 5.01(C)(i)(2) </w:t>
      </w:r>
      <w:r>
        <w:rPr>
          <w:rFonts w:ascii="Times New Roman;Times;Serif" w:hAnsi="Times New Roman;Times;Serif"/>
          <w:b w:val="false"/>
          <w:i w:val="false"/>
          <w:caps w:val="false"/>
          <w:smallCaps w:val="false"/>
          <w:sz w:val="20"/>
        </w:rPr>
        <w:t>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or Holders provide(s) the Company with reasonable evidence that the Trading Price per $1,000 principal amount of Notes would be less than ninety eight percent (98%) of the product of the Last Reported Sale Price per share of Common Stock and the Conversion Rate. If a Holder or Holders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If the Trading Price Condition has been met as set forth above, then the Company will notify the Holders, the Trustee and the Conversion Agent (if other than the Trustee) of the same.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(if other than the Trustee) of the same.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Conversion Upon Specified Corporate Events.</w:t>
      </w:r>
    </w:p>
    <w:p>
      <w:pPr>
        <w:pStyle w:val="TextBody"/>
        <w:bidi w:val="0"/>
        <w:spacing w:before="0" w:after="0"/>
        <w:ind w:left="3240" w:right="0" w:hanging="720"/>
        <w:jc w:val="both"/>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Certain Distributions</w:t>
      </w:r>
      <w:r>
        <w:rPr>
          <w:rFonts w:ascii="Times New Roman;Times;Serif" w:hAnsi="Times New Roman;Times;Serif"/>
          <w:b w:val="false"/>
          <w:i w:val="false"/>
          <w:caps w:val="false"/>
          <w:smallCaps w:val="false"/>
          <w:sz w:val="20"/>
        </w:rPr>
        <w:t>. If, before May 1, 2032, the Company elects to:</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upon their separation from the Common Stock or upon the occurrence of such triggering event) entitling them,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Times New Roman;Times;Serif" w:hAnsi="Times New Roman;Times;Serif"/>
          <w:b/>
          <w:i w:val="false"/>
          <w:caps w:val="false"/>
          <w:smallCaps w:val="false"/>
          <w:sz w:val="20"/>
        </w:rPr>
        <w:t>Section 5.05(A)(ii)</w:t>
      </w:r>
      <w:r>
        <w:rPr>
          <w:rFonts w:ascii="Times New Roman;Times;Serif" w:hAnsi="Times New Roman;Times;Serif"/>
          <w:b w:val="false"/>
          <w:i w:val="false"/>
          <w:caps w:val="false"/>
          <w:smallCaps w:val="false"/>
          <w:sz w:val="20"/>
        </w:rPr>
        <w:t>); or</w:t>
      </w:r>
    </w:p>
    <w:p>
      <w:pPr>
        <w:pStyle w:val="TextBody"/>
        <w:bidi w:val="0"/>
        <w:spacing w:before="0" w:after="0"/>
        <w:ind w:left="324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distribute, to all or substantially all holders of Common Stock, assets or securities of the Company or rights to purchase the Company’s securities, which distribution per share of Common Stock has a value, as reasonably determined by the Board of Directors, exceeding ten percent (10%) of the Last Reported Sale Price per share of Common Stock on the Trading Day immediately before the date such distribution is announced,</w:t>
      </w:r>
    </w:p>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in either case, (x) the Company will send written notice of such distribution, and of the related right to Convert Notes, to Holders, the Trustee and the Conversion Agent (if other than the Trustee) at least thirty-five (35) Scheduled Trading Days before the Ex-Dividend Date for such distribution (or, if later in the case of any such separation of rights issued pursuant to a stockholder rights plan or the occurrence of any such triggering event under a stockholder rights plan, as soon as reasonably practicable after the Company becomes aware that such separation or triggering event has occurred or will occur);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Notes will not become Convertible pursuant to </w:t>
      </w:r>
      <w:r>
        <w:rPr>
          <w:rFonts w:ascii="Times New Roman;Times;Serif" w:hAnsi="Times New Roman;Times;Serif"/>
          <w:b/>
          <w:i w:val="false"/>
          <w:caps w:val="false"/>
          <w:smallCaps w:val="false"/>
          <w:sz w:val="20"/>
        </w:rPr>
        <w:t xml:space="preserve">clause (y) </w:t>
      </w:r>
      <w:r>
        <w:rPr>
          <w:rFonts w:ascii="Times New Roman;Times;Serif" w:hAnsi="Times New Roman;Times;Serif"/>
          <w:b w:val="false"/>
          <w:i w:val="false"/>
          <w:caps w:val="false"/>
          <w:smallCaps w:val="false"/>
          <w:sz w:val="20"/>
        </w:rPr>
        <w:t xml:space="preserve">above (but the Company will be required to send notice of such distribution pursuant to </w:t>
      </w:r>
      <w:r>
        <w:rPr>
          <w:rFonts w:ascii="Times New Roman;Times;Serif" w:hAnsi="Times New Roman;Times;Serif"/>
          <w:b/>
          <w:i w:val="false"/>
          <w:caps w:val="false"/>
          <w:smallCaps w:val="false"/>
          <w:sz w:val="20"/>
        </w:rPr>
        <w:t xml:space="preserve">clause (x) </w:t>
      </w:r>
      <w:r>
        <w:rPr>
          <w:rFonts w:ascii="Times New Roman;Times;Serif" w:hAnsi="Times New Roman;Times;Serif"/>
          <w:b w:val="false"/>
          <w:i w:val="false"/>
          <w:caps w:val="false"/>
          <w:smallCaps w:val="false"/>
          <w:sz w:val="20"/>
        </w:rPr>
        <w:t>above) on account of such distribution if each Holder participates, at the same time and on the same terms as holders of Common Stock, and solely by virtue of being a Holder, in such distribution without having to Convert such Holder’s Notes and as if such Holder held a number of shares of Common Stock equal to the product of (i) the Conversion Rate in effect on the record date for such distribution; and (ii) the aggregate principal amount (expressed in thousands) of Notes held by such Holder on such record date.</w:t>
      </w:r>
    </w:p>
    <w:p>
      <w:pPr>
        <w:pStyle w:val="TextBody"/>
        <w:bidi w:val="0"/>
        <w:spacing w:before="0" w:after="0"/>
        <w:ind w:left="2519" w:right="0" w:hanging="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Certain Corporate Events</w:t>
      </w:r>
      <w:r>
        <w:rPr>
          <w:rFonts w:ascii="Times New Roman;Times;Serif" w:hAnsi="Times New Roman;Times;Serif"/>
          <w:b w:val="false"/>
          <w:i w:val="false"/>
          <w:caps w:val="false"/>
          <w:smallCaps w:val="false"/>
          <w:sz w:val="20"/>
        </w:rPr>
        <w:t xml:space="preserve">. If a Fundamental Change, Make-Whole Fundamental Change (other than a Make-Whole Fundamental Change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the definition thereof) or Common Stock Change Event occurs (other than a merger or other business combination transaction that is effected solely to change the Company’s jurisdiction of incorporation and that does not constitute a Fundamental Change or a Make-Whole Fundamental Change), then, in each case, Holders may Convert their Notes at any time from, and including, the effective date of such transaction or event to, and including, the thirty-fifth (35th) Trading Day after such effective date (or, if such transaction or event also constitutes a Fundamental Change (other than an Exempted Fundamental Change), to, but excluding, the related Fundamental Change Repurchase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does not provide the notice referred to in the immediately following sentence by the second (2nd) Business Day after such effective date, then the last day on which the Notes are Convertible pursuant to this sentence will be extended by the number of Business Days from, and including, the second (2nd) Business Day after the effective date to, but excluding, the date the Company provides such notice. No later than the second (2nd) Business Day after the effective date, the Company will send written notice to the Holders, the Trustee and the Conversion Agent (if other than the Trustee) of such transaction or event, such effective date and the related right to Convert Notes.</w:t>
      </w:r>
    </w:p>
    <w:p>
      <w:pPr>
        <w:pStyle w:val="TextBody"/>
        <w:bidi w:val="0"/>
        <w:spacing w:before="0" w:after="0"/>
        <w:ind w:left="252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Conversion Upon Redemption</w:t>
      </w:r>
      <w:r>
        <w:rPr>
          <w:rFonts w:ascii="Times New Roman;Times;Serif" w:hAnsi="Times New Roman;Times;Serif"/>
          <w:b w:val="false"/>
          <w:i w:val="false"/>
          <w:caps w:val="false"/>
          <w:smallCaps w:val="false"/>
          <w:sz w:val="20"/>
        </w:rPr>
        <w:t>. If the Company calls any Note for Redemption, then the Holder of such Note may Convert such Note at any time before the Close of Business on the Business Day immediately before the related Redemption Date (or, if the Company fails to pay the Redemption Price due on such Redemption Date in full, at any time until such time as the Company pays such Redemption Price in full).</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Conversions During Free Convertibility Period</w:t>
      </w:r>
      <w:r>
        <w:rPr>
          <w:rFonts w:ascii="Times New Roman;Times;Serif" w:hAnsi="Times New Roman;Times;Serif"/>
          <w:b w:val="false"/>
          <w:i w:val="false"/>
          <w:caps w:val="false"/>
          <w:smallCaps w:val="false"/>
          <w:sz w:val="20"/>
        </w:rPr>
        <w:t>. A Holder may Convert its Notes at any time from, and including, May 1, 2032 until the Close of Business on the Scheduled Trading Day immediately before the Maturity Date.</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the Notes may become Convertible pursuant to any one or more of the preceding sub-paragraphs of this </w:t>
      </w:r>
      <w:r>
        <w:rPr>
          <w:rFonts w:ascii="Times New Roman;Times;Serif" w:hAnsi="Times New Roman;Times;Serif"/>
          <w:b/>
          <w:i w:val="false"/>
          <w:caps w:val="false"/>
          <w:smallCaps w:val="false"/>
          <w:sz w:val="20"/>
        </w:rPr>
        <w:t xml:space="preserve">Section 5.01(C)(i) </w:t>
      </w:r>
      <w:r>
        <w:rPr>
          <w:rFonts w:ascii="Times New Roman;Times;Serif" w:hAnsi="Times New Roman;Times;Serif"/>
          <w:b w:val="false"/>
          <w:i w:val="false"/>
          <w:caps w:val="false"/>
          <w:smallCaps w:val="false"/>
          <w:sz w:val="20"/>
        </w:rPr>
        <w:t xml:space="preserve">and the Notes ceasing to be Convertible pursuant to a particular sub-paragraph of this </w:t>
      </w:r>
      <w:r>
        <w:rPr>
          <w:rFonts w:ascii="Times New Roman;Times;Serif" w:hAnsi="Times New Roman;Times;Serif"/>
          <w:b/>
          <w:i w:val="false"/>
          <w:caps w:val="false"/>
          <w:smallCaps w:val="false"/>
          <w:sz w:val="20"/>
        </w:rPr>
        <w:t xml:space="preserve">Section 5.01(C)(i) </w:t>
      </w:r>
      <w:r>
        <w:rPr>
          <w:rFonts w:ascii="Times New Roman;Times;Serif" w:hAnsi="Times New Roman;Times;Serif"/>
          <w:b w:val="false"/>
          <w:i w:val="false"/>
          <w:caps w:val="false"/>
          <w:smallCaps w:val="false"/>
          <w:sz w:val="20"/>
        </w:rPr>
        <w:t xml:space="preserve">will not preclude the Notes from being Convertible pursuant to any other sub-paragraph of this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Limitations and Closed Periods</w:t>
      </w:r>
      <w:r>
        <w:rPr>
          <w:rFonts w:ascii="Times New Roman;Times;Serif" w:hAnsi="Times New Roman;Times;Serif"/>
          <w:b w:val="false"/>
          <w:i w:val="false"/>
          <w:caps w:val="false"/>
          <w:smallCaps w:val="false"/>
          <w:sz w:val="20"/>
        </w:rPr>
        <w:t>. Notwithstanding anything to the contrary in the Indenture or the Notes:</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Notes may be surrendered for Conversion during a period where the Notes are Convertible pursuant to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 xml:space="preserve"> only after the Open of Business and before the Close of Business on a day that is a Business Day;</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no event may any Note be Converted after the Close of Business on the Scheduled Trading Day immediately before the Maturity Date;</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the Company calls any Note for Redemption pursuant to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then the Holder of such Note may not Convert such Note after the Close of Business on the Business Day immediately before the applicable Redemption Date, except to the extent the Company fails to pay the Redemption Price for such Note in accordance with this Supplemental Indenture; and</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if a Fundamental Change Repurchase Notice is validly delivered pursuant to </w:t>
      </w:r>
      <w:r>
        <w:rPr>
          <w:rFonts w:ascii="Times New Roman;Times;Serif" w:hAnsi="Times New Roman;Times;Serif"/>
          <w:b/>
          <w:i w:val="false"/>
          <w:caps w:val="false"/>
          <w:smallCaps w:val="false"/>
          <w:sz w:val="20"/>
        </w:rPr>
        <w:t xml:space="preserve">Section 4.02(F) </w:t>
      </w:r>
      <w:r>
        <w:rPr>
          <w:rFonts w:ascii="Times New Roman;Times;Serif" w:hAnsi="Times New Roman;Times;Serif"/>
          <w:b w:val="false"/>
          <w:i w:val="false"/>
          <w:caps w:val="false"/>
          <w:smallCaps w:val="false"/>
          <w:sz w:val="20"/>
        </w:rPr>
        <w:t xml:space="preserve">with respect to any Note, then such Note may not be Converted, except to the extent (a) such Note is not subject to such notice; (b) such notice is withdrawn in accordance with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 xml:space="preserve">; or (c) the Company fails to pay the Fundamental Change Repurchase Price for such Note in accordance with this Supplemental Indenture (or a third party fails to make such payment in lieu of the Company in accordance with </w:t>
      </w:r>
      <w:r>
        <w:rPr>
          <w:rFonts w:ascii="Times New Roman;Times;Serif" w:hAnsi="Times New Roman;Times;Serif"/>
          <w:b/>
          <w:i w:val="false"/>
          <w:caps w:val="false"/>
          <w:smallCaps w:val="false"/>
          <w:sz w:val="20"/>
        </w:rPr>
        <w:t>Section 4.02(H)</w:t>
      </w:r>
      <w:r>
        <w:rPr>
          <w:rFonts w:ascii="Times New Roman;Times;Serif" w:hAnsi="Times New Roman;Times;Serif"/>
          <w:b w:val="false"/>
          <w:i w:val="false"/>
          <w:caps w:val="false"/>
          <w:smallCaps w:val="false"/>
          <w:sz w:val="20"/>
        </w:rPr>
        <w: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5.02 </w:t>
      </w:r>
      <w:r>
        <w:rPr>
          <w:rFonts w:ascii="Times New Roman;Times;Serif" w:hAnsi="Times New Roman;Times;Serif"/>
          <w:b/>
          <w:i w:val="false"/>
          <w:smallCaps/>
          <w:sz w:val="20"/>
        </w:rPr>
        <w:t>Conversion Procedures.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w:t>
      </w:r>
    </w:p>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xml:space="preserve">. To Convert a beneficial interest in a Global Note that is Convertible pursuant to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 xml:space="preserve">, the owner of such beneficial interest must (1) comply with the Depositary Procedures for Converting such beneficial interest (at which time such Conversion will become irrevocable); and (2) pay any amounts due pursuant to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5.02(E)</w:t>
      </w:r>
      <w:r>
        <w:rPr>
          <w:rFonts w:ascii="Times New Roman;Times;Serif" w:hAnsi="Times New Roman;Times;Serif"/>
          <w:b w:val="false"/>
          <w:i w:val="false"/>
          <w:caps w:val="false"/>
          <w:smallCaps w:val="false"/>
          <w:sz w:val="20"/>
        </w:rPr>
        <w:t>.</w:t>
      </w:r>
    </w:p>
    <w:p>
      <w:pPr>
        <w:pStyle w:val="TextBody"/>
        <w:bidi w:val="0"/>
        <w:spacing w:before="0" w:after="0"/>
        <w:ind w:left="108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Physical Notes</w:t>
      </w:r>
      <w:r>
        <w:rPr>
          <w:rFonts w:ascii="Times New Roman;Times;Serif" w:hAnsi="Times New Roman;Times;Serif"/>
          <w:b w:val="false"/>
          <w:i w:val="false"/>
          <w:caps w:val="false"/>
          <w:smallCaps w:val="false"/>
          <w:sz w:val="20"/>
        </w:rPr>
        <w:t xml:space="preserve">. To Convert all or a portion of a Physical Note that is Convertible pursuant to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 xml:space="preserve">, the Holder of such Note 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Times New Roman;Times;Serif" w:hAnsi="Times New Roman;Times;Serif"/>
          <w:b/>
          <w:i w:val="false"/>
          <w:caps w:val="false"/>
          <w:smallCaps w:val="false"/>
          <w:sz w:val="20"/>
        </w:rPr>
        <w:t xml:space="preserve">Section 5.02(D)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Section 5.02(E)</w:t>
      </w:r>
      <w:r>
        <w:rPr>
          <w:rFonts w:ascii="Times New Roman;Times;Serif" w:hAnsi="Times New Roman;Times;Serif"/>
          <w:b w:val="false"/>
          <w:i w:val="false"/>
          <w:caps w:val="false"/>
          <w:smallCaps w:val="false"/>
          <w:sz w:val="20"/>
        </w:rPr>
        <w:t>.</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Effect of Converting a Note</w:t>
      </w:r>
      <w:r>
        <w:rPr>
          <w:rFonts w:ascii="Times New Roman;Times;Serif" w:hAnsi="Times New Roman;Times;Serif"/>
          <w:b w:val="false"/>
          <w:i w:val="false"/>
          <w:caps w:val="false"/>
          <w:smallCaps w:val="false"/>
          <w:sz w:val="20"/>
        </w:rPr>
        <w:t xml:space="preserve">. At the Close of Business on the Conversion Date for a Note (or any portion thereof) to be Converted, such Note (or such portion) will (unless there occurs a Default in the delivery of the Conversion Consideration or interest, if any, due, pursuant to </w:t>
      </w:r>
      <w:r>
        <w:rPr>
          <w:rFonts w:ascii="Times New Roman;Times;Serif" w:hAnsi="Times New Roman;Times;Serif"/>
          <w:b/>
          <w:i w:val="false"/>
          <w:caps w:val="false"/>
          <w:smallCaps w:val="false"/>
          <w:sz w:val="20"/>
        </w:rPr>
        <w:t>Section 5.03(B)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xml:space="preserve">, upon such Conversion) be deemed to cease to be outstanding (and, for the avoidance of doubt, no Person will be deemed to be a Holder of such Note (or such portion thereof) as of the Close of Business on such Conversion Date), except to the extent provided in </w:t>
      </w:r>
      <w:r>
        <w:rPr>
          <w:rFonts w:ascii="Times New Roman;Times;Serif" w:hAnsi="Times New Roman;Times;Serif"/>
          <w:b/>
          <w:i w:val="false"/>
          <w:caps w:val="false"/>
          <w:smallCaps w:val="false"/>
          <w:sz w:val="20"/>
        </w:rPr>
        <w:t>Section 5.02(D).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Holder of Record of Conversion Shares</w:t>
      </w:r>
      <w:r>
        <w:rPr>
          <w:rFonts w:ascii="Times New Roman;Times;Serif" w:hAnsi="Times New Roman;Times;Serif"/>
          <w:b w:val="false"/>
          <w:i w:val="false"/>
          <w:caps w:val="false"/>
          <w:smallCaps w:val="false"/>
          <w:sz w:val="20"/>
        </w:rPr>
        <w:t>. The Person in whose name any share of Common Stock is issuable upon Conversion of any Note will be 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Interest Payable Upon Conversion in Certain Circumstances</w:t>
      </w:r>
      <w:r>
        <w:rPr>
          <w:rFonts w:ascii="Times New Roman;Times;Serif" w:hAnsi="Times New Roman;Times;Serif"/>
          <w:b w:val="false"/>
          <w:i w:val="false"/>
          <w:caps w:val="false"/>
          <w:smallCaps w:val="false"/>
          <w:sz w:val="20"/>
        </w:rPr>
        <w:t xml:space="preserve">. If the Conversion Date of a Note is after a Regular Record Date and before 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clause (i)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Holder surrendering such Note for Conversion need not deliver such cash (v) with respect to any Note called for Redemption, if the Company has specified a Redemption Date that is after such Regular Record Date and on or before the Business Day immediately after such Interest Payment Date; (w) if such Conversion Date occurs after the Regular Record Date immediately before the Maturity Date; (x) if the Company has specified a Fundamental Change Repurchase Date that is after such Regular Record Date and on or before the Business Day immediately after such Interest Payment Date; or (y) to the extent of any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then the Company will pay, as provided above, interest that would have accrued on such Note to, but excluding, the Maturity Date (or, if the Maturity Date is not a Business Day, the next Business Day) as if such Note had not been Converted.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w:t>
      </w:r>
    </w:p>
    <w:p>
      <w:pPr>
        <w:pStyle w:val="TextBody"/>
        <w:bidi w:val="0"/>
        <w:spacing w:before="0" w:after="0"/>
        <w:ind w:left="361"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Taxes and Duties</w:t>
      </w:r>
      <w:r>
        <w:rPr>
          <w:rFonts w:ascii="Times New Roman;Times;Serif" w:hAnsi="Times New Roman;Times;Serif"/>
          <w:b w:val="false"/>
          <w:i w:val="false"/>
          <w:caps w:val="false"/>
          <w:smallCaps w:val="false"/>
          <w:sz w:val="20"/>
        </w:rPr>
        <w:t xml:space="preserve">. If a Holder Converts a Note, the Company will pay or cause to be paid any documentary, stamp or similar issue or transfer tax or duty due on the issue or delivery of any shares of Common Stock upon such Conversion;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Conversion Agent to Notify Company of Conversions</w:t>
      </w:r>
      <w:r>
        <w:rPr>
          <w:rFonts w:ascii="Times New Roman;Times;Serif" w:hAnsi="Times New Roman;Times;Serif"/>
          <w:b w:val="false"/>
          <w:i w:val="false"/>
          <w:caps w:val="false"/>
          <w:smallCaps w:val="false"/>
          <w:sz w:val="20"/>
        </w:rPr>
        <w:t>. If any Note is submitted for Conversion to the Conversion Agent or the Conversion Agent receives any notice of Conversion with respect to a Note, then the Conversion Agent will promptly notify the Company and the Trustee (if other than the Conversion Agent) of such occurrence, together with any other information reasonably requested by the Company, and will cooperate with the Company to determine the Conversion Date for such Note.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5.03 </w:t>
      </w:r>
      <w:r>
        <w:rPr>
          <w:rFonts w:ascii="Times New Roman;Times;Serif" w:hAnsi="Times New Roman;Times;Serif"/>
          <w:b/>
          <w:i w:val="false"/>
          <w:smallCaps/>
          <w:sz w:val="20"/>
        </w:rPr>
        <w:t>Settlement Upon Conversion.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Settlement Method</w:t>
      </w:r>
      <w:r>
        <w:rPr>
          <w:rFonts w:ascii="Times New Roman;Times;Serif" w:hAnsi="Times New Roman;Times;Serif"/>
          <w:b w:val="false"/>
          <w:i w:val="false"/>
          <w:caps w:val="false"/>
          <w:smallCaps w:val="false"/>
          <w:sz w:val="20"/>
        </w:rPr>
        <w:t xml:space="preserve">. Upon the Conversion of any Note, the Company will settle such Conversion by paying or delivering, as applicable and as provided in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either (x) shares of Common Stock, together, if applicable, with cash in lieu of fractional shares, as provided in </w:t>
      </w:r>
      <w:r>
        <w:rPr>
          <w:rFonts w:ascii="Times New Roman;Times;Serif" w:hAnsi="Times New Roman;Times;Serif"/>
          <w:b/>
          <w:i w:val="false"/>
          <w:caps w:val="false"/>
          <w:smallCaps w:val="false"/>
          <w:sz w:val="20"/>
        </w:rPr>
        <w:t xml:space="preserve">Section 5.03(B)(i)(1) </w:t>
      </w: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Physical Settlement</w:t>
      </w:r>
      <w:r>
        <w:rPr>
          <w:rFonts w:ascii="Times New Roman;Times;Serif" w:hAnsi="Times New Roman;Times;Serif"/>
          <w:b w:val="false"/>
          <w:i w:val="false"/>
          <w:caps w:val="false"/>
          <w:smallCaps w:val="false"/>
          <w:sz w:val="20"/>
        </w:rPr>
        <w:t xml:space="preserve">”); (y) solely cash as provided in </w:t>
      </w:r>
      <w:r>
        <w:rPr>
          <w:rFonts w:ascii="Times New Roman;Times;Serif" w:hAnsi="Times New Roman;Times;Serif"/>
          <w:b/>
          <w:i w:val="false"/>
          <w:caps w:val="false"/>
          <w:smallCaps w:val="false"/>
          <w:sz w:val="20"/>
        </w:rPr>
        <w:t xml:space="preserve">Section 5.03(B)(i)(2) </w:t>
      </w: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Cash Settlement</w:t>
      </w:r>
      <w:r>
        <w:rPr>
          <w:rFonts w:ascii="Times New Roman;Times;Serif" w:hAnsi="Times New Roman;Times;Serif"/>
          <w:b w:val="false"/>
          <w:i w:val="false"/>
          <w:caps w:val="false"/>
          <w:smallCaps w:val="false"/>
          <w:sz w:val="20"/>
        </w:rPr>
        <w:t xml:space="preserve">”); or (z) a combination of cash and shares of Common Stock, together, if applicable, with cash in lieu of fractional shares, as provided in </w:t>
      </w:r>
      <w:r>
        <w:rPr>
          <w:rFonts w:ascii="Times New Roman;Times;Serif" w:hAnsi="Times New Roman;Times;Serif"/>
          <w:b/>
          <w:i w:val="false"/>
          <w:caps w:val="false"/>
          <w:smallCaps w:val="false"/>
          <w:sz w:val="20"/>
        </w:rPr>
        <w:t xml:space="preserve">Section 5.03(B)(i)(3) </w:t>
      </w: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Combination Settlement</w:t>
      </w:r>
      <w:r>
        <w:rPr>
          <w:rFonts w:ascii="Times New Roman;Times;Serif" w:hAnsi="Times New Roman;Times;Serif"/>
          <w:b w:val="false"/>
          <w:i w:val="false"/>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The Company’s Right to Elect Settlement Method</w:t>
      </w:r>
      <w:r>
        <w:rPr>
          <w:rFonts w:ascii="Times New Roman;Times;Serif" w:hAnsi="Times New Roman;Times;Serif"/>
          <w:b w:val="false"/>
          <w:i w:val="false"/>
          <w:caps w:val="false"/>
          <w:smallCaps w:val="false"/>
          <w:sz w:val="20"/>
        </w:rPr>
        <w:t xml:space="preserve">. The Company will have the right to elect the Settlement Method applicable to any Conversion of a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subject to </w:t>
      </w:r>
      <w:r>
        <w:rPr>
          <w:rFonts w:ascii="Times New Roman;Times;Serif" w:hAnsi="Times New Roman;Times;Serif"/>
          <w:b/>
          <w:i w:val="false"/>
          <w:caps w:val="false"/>
          <w:smallCaps w:val="false"/>
          <w:sz w:val="20"/>
        </w:rPr>
        <w:t>clause (3</w:t>
      </w:r>
      <w:r>
        <w:rPr>
          <w:rFonts w:ascii="Times New Roman;Times;Serif" w:hAnsi="Times New Roman;Times;Serif"/>
          <w:b w:val="false"/>
          <w:i w:val="false"/>
          <w:caps w:val="false"/>
          <w:smallCaps w:val="false"/>
          <w:sz w:val="20"/>
        </w:rPr>
        <w:t>) below, all Conversions of Notes with a Conversion Date that occurs on or after May 1, 2032 will be settled using the same Settlement Method, and the Company will send notice of such Settlement Method to Holders, the Trustee and the Conversion Agent (if other than the Trustee) no later than the Open of Business on May 1, 2032;</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subject to </w:t>
      </w:r>
      <w:r>
        <w:rPr>
          <w:rFonts w:ascii="Times New Roman;Times;Serif" w:hAnsi="Times New Roman;Times;Serif"/>
          <w:b/>
          <w:i w:val="false"/>
          <w:caps w:val="false"/>
          <w:smallCaps w:val="false"/>
          <w:sz w:val="20"/>
        </w:rPr>
        <w:t>clause (3</w:t>
      </w:r>
      <w:r>
        <w:rPr>
          <w:rFonts w:ascii="Times New Roman;Times;Serif" w:hAnsi="Times New Roman;Times;Serif"/>
          <w:b w:val="false"/>
          <w:i w:val="false"/>
          <w:caps w:val="false"/>
          <w:smallCaps w:val="false"/>
          <w:sz w:val="20"/>
        </w:rPr>
        <w:t>) below, if the Company elects a Settlement Method with respect to the Conversion of any Note whose Conversion Date occurs before May 1, 2032, then the Company will send notice of such Settlement Method to the Holder of such Note, the Trustee and the Conversion Agent (if other than the Trustee) no later than the Close of Business on the Business Day immediately after such Conversion Date;</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any Notes are called for Redemption, then (a) the Company will specify, in the related Redemption Notice (and, in the case of a Redemption of fewer than all outstanding Notes, in a notice simultaneously sent to all Holders of Notes not called for Redemption) sent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 xml:space="preserve">, the Settlement Method that will apply to all Conversions of Notes with a Conversion Date that occurs on or after the related Redemption Notice Date and on or before the Business Day immediately before the related Redemption Date; and (b) if such Redemption Date occurs on or after May 1, 2032, then such Settlement Method must be the same Settlement Method that, pursuant to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above, applies to all Conversions of Notes with a Conversion Date that occurs on or after May 1, 2032;</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above);</w:t>
      </w:r>
    </w:p>
    <w:p>
      <w:pPr>
        <w:pStyle w:val="TextBody"/>
        <w:bidi w:val="0"/>
        <w:spacing w:before="0" w:after="0"/>
        <w:ind w:left="108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 and</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or before the time the Company sends any notice referred to in this </w:t>
      </w:r>
      <w:r>
        <w:rPr>
          <w:rFonts w:ascii="Times New Roman;Times;Serif" w:hAnsi="Times New Roman;Times;Serif"/>
          <w:b/>
          <w:i w:val="false"/>
          <w:caps w:val="false"/>
          <w:smallCaps w:val="false"/>
          <w:sz w:val="20"/>
        </w:rPr>
        <w:t>Section 5.03(A)(i)</w:t>
      </w:r>
      <w:r>
        <w:rPr>
          <w:rFonts w:ascii="Times New Roman;Times;Serif" w:hAnsi="Times New Roman;Times;Serif"/>
          <w:b w:val="false"/>
          <w:i w:val="false"/>
          <w:caps w:val="false"/>
          <w:smallCaps w:val="false"/>
          <w:sz w:val="20"/>
        </w:rPr>
        <w:t>, the Company will send a copy of such notice to the Trustee and the Conversion Agent (if other than the Trustee), but the failure to timely send such copy will not affect the validity of any Settlement Method election.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The Company’s Right to Irrevocably Fix or Eliminate Settlement Methods</w:t>
      </w:r>
      <w:r>
        <w:rPr>
          <w:rFonts w:ascii="Times New Roman;Times;Serif" w:hAnsi="Times New Roman;Times;Serif"/>
          <w:b w:val="false"/>
          <w:i w:val="false"/>
          <w:caps w:val="false"/>
          <w:smallCaps w:val="false"/>
          <w:sz w:val="20"/>
        </w:rPr>
        <w:t xml:space="preserve">. The Company will have the right, exercisable at its election by sending notice of such exercise to the Holders (with a copy to the Trustee and the Conversion Agent (if other than the Trustee)), to (1) irrevocably fix the Settlement Method that will apply to all Conversions of Notes with a Conversion Date that occurs on or after the date such notice is sent to Holders; or (2) irrevocably eliminate any one or more (but not all) Settlement Methods (including eliminating Combination Settlement with a particular Specified Dollar Amount or range of Specified Dollar Amounts) with respect to all Conversions of Notes with a Conversion Date that occurs on or after the date such notice is sent to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in each case, that (w) the Settlement Method so elected pursuant to </w:t>
      </w:r>
      <w:r>
        <w:rPr>
          <w:rFonts w:ascii="Times New Roman;Times;Serif" w:hAnsi="Times New Roman;Times;Serif"/>
          <w:b/>
          <w:i w:val="false"/>
          <w:caps w:val="false"/>
          <w:smallCaps w:val="false"/>
          <w:sz w:val="20"/>
        </w:rPr>
        <w:t xml:space="preserve">clause (1) </w:t>
      </w:r>
      <w:r>
        <w:rPr>
          <w:rFonts w:ascii="Times New Roman;Times;Serif" w:hAnsi="Times New Roman;Times;Serif"/>
          <w:b w:val="false"/>
          <w:i w:val="false"/>
          <w:caps w:val="false"/>
          <w:smallCaps w:val="false"/>
          <w:sz w:val="20"/>
        </w:rPr>
        <w:t xml:space="preserve">above, or the Settlement Method(s) remaining after any elimination pursuant to </w:t>
      </w:r>
      <w:r>
        <w:rPr>
          <w:rFonts w:ascii="Times New Roman;Times;Serif" w:hAnsi="Times New Roman;Times;Serif"/>
          <w:b/>
          <w:i w:val="false"/>
          <w:caps w:val="false"/>
          <w:smallCaps w:val="false"/>
          <w:sz w:val="20"/>
        </w:rPr>
        <w:t>clause (2)</w:t>
      </w:r>
      <w:r>
        <w:rPr>
          <w:rFonts w:ascii="Times New Roman;Times;Serif" w:hAnsi="Times New Roman;Times;Serif"/>
          <w:b w:val="false"/>
          <w:i w:val="false"/>
          <w:caps w:val="false"/>
          <w:smallCaps w:val="false"/>
          <w:sz w:val="20"/>
        </w:rPr>
        <w:t xml:space="preserve"> above, as applicable, must be a Settlement Method or Settlement Method(s), as applicable, that the Company is then permitted to elect (for the avoidance of doubt, including pursuant to, and subject to, the other provisions of this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 xml:space="preserve">); (x) no such irrevocable election or Default Settlement Method change will affect any Settlement Method theretofore elected (or deemed to be elected) with respect to any Note pursuant to the Indenture (including pursuant to </w:t>
      </w:r>
      <w:r>
        <w:rPr>
          <w:rFonts w:ascii="Times New Roman;Times;Serif" w:hAnsi="Times New Roman;Times;Serif"/>
          <w:b/>
          <w:i w:val="false"/>
          <w:caps w:val="false"/>
          <w:smallCaps w:val="false"/>
          <w:sz w:val="20"/>
        </w:rPr>
        <w:t xml:space="preserve">Section 8.01(G) </w:t>
      </w:r>
      <w:r>
        <w:rPr>
          <w:rFonts w:ascii="Times New Roman;Times;Serif" w:hAnsi="Times New Roman;Times;Serif"/>
          <w:b w:val="false"/>
          <w:i w:val="false"/>
          <w:caps w:val="false"/>
          <w:smallCaps w:val="false"/>
          <w:sz w:val="20"/>
        </w:rPr>
        <w:t xml:space="preserve">or this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 xml:space="preserve">); (y) upon any such irrevocable election pursuant to </w:t>
      </w:r>
      <w:r>
        <w:rPr>
          <w:rFonts w:ascii="Times New Roman;Times;Serif" w:hAnsi="Times New Roman;Times;Serif"/>
          <w:b/>
          <w:i w:val="false"/>
          <w:caps w:val="false"/>
          <w:smallCaps w:val="false"/>
          <w:sz w:val="20"/>
        </w:rPr>
        <w:t xml:space="preserve">clause (1) </w:t>
      </w:r>
      <w:r>
        <w:rPr>
          <w:rFonts w:ascii="Times New Roman;Times;Serif" w:hAnsi="Times New Roman;Times;Serif"/>
          <w:b w:val="false"/>
          <w:i w:val="false"/>
          <w:caps w:val="false"/>
          <w:smallCaps w:val="false"/>
          <w:sz w:val="20"/>
        </w:rPr>
        <w:t xml:space="preserve">above, the Default Settlement Method will automatically be deemed to be set to the Settlement Method so fixed; and (z) upon any such irrevocable election pursuant to </w:t>
      </w:r>
      <w:r>
        <w:rPr>
          <w:rFonts w:ascii="Times New Roman;Times;Serif" w:hAnsi="Times New Roman;Times;Serif"/>
          <w:b/>
          <w:i w:val="false"/>
          <w:caps w:val="false"/>
          <w:smallCaps w:val="false"/>
          <w:sz w:val="20"/>
        </w:rPr>
        <w:t xml:space="preserve">clause (2) </w:t>
      </w:r>
      <w:r>
        <w:rPr>
          <w:rFonts w:ascii="Times New Roman;Times;Serif" w:hAnsi="Times New Roman;Times;Serif"/>
          <w:b w:val="false"/>
          <w:i w:val="false"/>
          <w:caps w:val="false"/>
          <w:smallCaps w:val="false"/>
          <w:sz w:val="20"/>
        </w:rPr>
        <w:t xml:space="preserve">above, the Company will, if needed, simultaneously change the Default Settlement Method to a Settlement Method that is consistent with such irrevocable election. Such notice, if sent, must set forth the applicable Settlement Method(s) so elected or eliminated, as applicable, and the Default Settlement Method applicable immediately after such election, and expressly state that the election is irrevocable and applicable to all Conversions of Notes with a Conversion Date that occurs on or after the date such notice is sent to Holders. For the avoidance of doubt, such an irrevocable election, if made, will be effective without the need to amend the Indenture or the Notes, including pursuant to </w:t>
      </w:r>
      <w:r>
        <w:rPr>
          <w:rFonts w:ascii="Times New Roman;Times;Serif" w:hAnsi="Times New Roman;Times;Serif"/>
          <w:b/>
          <w:i w:val="false"/>
          <w:caps w:val="false"/>
          <w:smallCaps w:val="false"/>
          <w:sz w:val="20"/>
        </w:rPr>
        <w:t xml:space="preserve">Section 8.01(G) </w:t>
      </w:r>
      <w:r>
        <w:rPr>
          <w:rFonts w:ascii="Times New Roman;Times;Serif" w:hAnsi="Times New Roman;Times;Serif"/>
          <w:b w:val="false"/>
          <w:i w:val="false"/>
          <w:caps w:val="false"/>
          <w:smallCaps w:val="false"/>
          <w:sz w:val="20"/>
        </w:rPr>
        <w:t>(it being understood, however, that the Company may nonetheless choose to execute such an amendment at its option).</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 xml:space="preserve">Requirement to Publicly Disclose the Fixed or Default Settlement Method. </w:t>
      </w:r>
      <w:r>
        <w:rPr>
          <w:rFonts w:ascii="Times New Roman;Times;Serif" w:hAnsi="Times New Roman;Times;Serif"/>
          <w:b w:val="false"/>
          <w:i w:val="false"/>
          <w:caps w:val="false"/>
          <w:smallCaps w:val="false"/>
          <w:sz w:val="20"/>
        </w:rPr>
        <w:t xml:space="preserve">If the Company changes the Default Settlement Method pursuant to </w:t>
      </w:r>
      <w:r>
        <w:rPr>
          <w:rFonts w:ascii="Times New Roman;Times;Serif" w:hAnsi="Times New Roman;Times;Serif"/>
          <w:b/>
          <w:i w:val="false"/>
          <w:caps w:val="false"/>
          <w:smallCaps w:val="false"/>
          <w:sz w:val="20"/>
        </w:rPr>
        <w:t xml:space="preserve">clause (x) </w:t>
      </w:r>
      <w:r>
        <w:rPr>
          <w:rFonts w:ascii="Times New Roman;Times;Serif" w:hAnsi="Times New Roman;Times;Serif"/>
          <w:b w:val="false"/>
          <w:i w:val="false"/>
          <w:caps w:val="false"/>
          <w:smallCaps w:val="false"/>
          <w:sz w:val="20"/>
        </w:rPr>
        <w:t xml:space="preserve">of the proviso to the definition of such term or irrevocably fixes the Settlement Method(s) pursuant to </w:t>
      </w:r>
      <w:r>
        <w:rPr>
          <w:rFonts w:ascii="Times New Roman;Times;Serif" w:hAnsi="Times New Roman;Times;Serif"/>
          <w:b/>
          <w:i w:val="false"/>
          <w:caps w:val="false"/>
          <w:smallCaps w:val="false"/>
          <w:sz w:val="20"/>
        </w:rPr>
        <w:t>Section 5.03(A)(ii)</w:t>
      </w:r>
      <w:r>
        <w:rPr>
          <w:rFonts w:ascii="Times New Roman;Times;Serif" w:hAnsi="Times New Roman;Times;Serif"/>
          <w:b w:val="false"/>
          <w:i w:val="false"/>
          <w:caps w:val="false"/>
          <w:smallCaps w:val="false"/>
          <w:sz w:val="20"/>
        </w:rPr>
        <w:t>, then the Company will, substantially concurrently, either post the Default Settlement Method or fixed Settlement Method(s), as applicable, on its website or disclose the same in a Current Report on Form 8-K (or any successor form) that is filed with, or furnished to, the SEC.</w:t>
      </w:r>
    </w:p>
    <w:p>
      <w:pPr>
        <w:pStyle w:val="TextBody"/>
        <w:bidi w:val="0"/>
        <w:spacing w:before="0" w:after="0"/>
        <w:ind w:left="108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Conversion Consideration.</w:t>
      </w:r>
    </w:p>
    <w:p>
      <w:pPr>
        <w:pStyle w:val="TextBody"/>
        <w:bidi w:val="0"/>
        <w:spacing w:before="0" w:after="0"/>
        <w:ind w:left="1799"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Sections 5.03(B)(ii)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5.03(B)(iii)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5.09(A</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the type and amount of consideration (the “</w:t>
      </w:r>
      <w:r>
        <w:rPr>
          <w:rFonts w:ascii="Times New Roman;Times;Serif" w:hAnsi="Times New Roman;Times;Serif"/>
          <w:b/>
          <w:i w:val="false"/>
          <w:caps w:val="false"/>
          <w:smallCaps w:val="false"/>
          <w:sz w:val="20"/>
        </w:rPr>
        <w:t>Conversion Consideration</w:t>
      </w:r>
      <w:r>
        <w:rPr>
          <w:rFonts w:ascii="Times New Roman;Times;Serif" w:hAnsi="Times New Roman;Times;Serif"/>
          <w:b w:val="false"/>
          <w:i w:val="false"/>
          <w:caps w:val="false"/>
          <w:smallCaps w:val="false"/>
          <w:sz w:val="20"/>
        </w:rPr>
        <w:t>”) due in respect of each $1,000 principal amount of a Note to be Converted will be as follows:</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Physical Settlement applies to such Conversion, subject to </w:t>
      </w:r>
      <w:r>
        <w:rPr>
          <w:rFonts w:ascii="Times New Roman;Times;Serif" w:hAnsi="Times New Roman;Times;Serif"/>
          <w:b/>
          <w:i w:val="false"/>
          <w:caps w:val="false"/>
          <w:smallCaps w:val="false"/>
          <w:sz w:val="20"/>
        </w:rPr>
        <w:t>Section 5.03(B)(ii)</w:t>
      </w:r>
      <w:r>
        <w:rPr>
          <w:rFonts w:ascii="Times New Roman;Times;Serif" w:hAnsi="Times New Roman;Times;Serif"/>
          <w:b w:val="false"/>
          <w:i w:val="false"/>
          <w:caps w:val="false"/>
          <w:smallCaps w:val="false"/>
          <w:sz w:val="20"/>
        </w:rPr>
        <w:t>, a number of shares of Common Stock equal to the Conversion Rate in effect on the Conversion Date for such Conversion;</w:t>
      </w:r>
    </w:p>
    <w:p>
      <w:pPr>
        <w:pStyle w:val="TextBody"/>
        <w:bidi w:val="0"/>
        <w:spacing w:before="0" w:after="0"/>
        <w:ind w:left="1080" w:right="0" w:firstLine="1437"/>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Cash Settlement applies to such Conversion, cash in an amount equal to the sum of the Daily Conversion Values for each VWAP Trading Day in the Observation Period for such Conversion; or</w:t>
      </w:r>
    </w:p>
    <w:p>
      <w:pPr>
        <w:pStyle w:val="TextBody"/>
        <w:bidi w:val="0"/>
        <w:spacing w:before="0" w:after="0"/>
        <w:ind w:left="1080" w:right="0" w:firstLine="1437"/>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Combination Settlement applies to such Conversion, consideration consisting, subject to </w:t>
      </w:r>
      <w:r>
        <w:rPr>
          <w:rFonts w:ascii="Times New Roman;Times;Serif" w:hAnsi="Times New Roman;Times;Serif"/>
          <w:b/>
          <w:i w:val="false"/>
          <w:caps w:val="false"/>
          <w:smallCaps w:val="false"/>
          <w:sz w:val="20"/>
        </w:rPr>
        <w:t xml:space="preserve">Section 5.03(B)(ii), </w:t>
      </w:r>
      <w:r>
        <w:rPr>
          <w:rFonts w:ascii="Times New Roman;Times;Serif" w:hAnsi="Times New Roman;Times;Serif"/>
          <w:b w:val="false"/>
          <w:i w:val="false"/>
          <w:caps w:val="false"/>
          <w:smallCaps w:val="false"/>
          <w:sz w:val="20"/>
        </w:rPr>
        <w:t>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Cash in Lieu of Fractional Shares</w:t>
      </w:r>
      <w:r>
        <w:rPr>
          <w:rFonts w:ascii="Times New Roman;Times;Serif" w:hAnsi="Times New Roman;Times;Serif"/>
          <w:b w:val="false"/>
          <w:i w:val="false"/>
          <w:caps w:val="false"/>
          <w:smallCaps w:val="false"/>
          <w:sz w:val="20"/>
        </w:rPr>
        <w:t xml:space="preserve">. If Physical Settlement or Combination Settlement applies to the Conversion of any Note and the number of shares of Common Stock deliverable pursuant to </w:t>
      </w:r>
      <w:r>
        <w:rPr>
          <w:rFonts w:ascii="Times New Roman;Times;Serif" w:hAnsi="Times New Roman;Times;Serif"/>
          <w:b/>
          <w:i w:val="false"/>
          <w:caps w:val="false"/>
          <w:smallCaps w:val="false"/>
          <w:sz w:val="20"/>
        </w:rPr>
        <w:t xml:space="preserve">Section 5.03(B)(i) </w:t>
      </w:r>
      <w:r>
        <w:rPr>
          <w:rFonts w:ascii="Times New Roman;Times;Serif" w:hAnsi="Times New Roman;Times;Serif"/>
          <w:b w:val="false"/>
          <w:i w:val="false"/>
          <w:caps w:val="false"/>
          <w:smallCaps w:val="false"/>
          <w:sz w:val="20"/>
        </w:rPr>
        <w:t>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Conversion of Multiple Notes by a Single Holder</w:t>
      </w:r>
      <w:r>
        <w:rPr>
          <w:rFonts w:ascii="Times New Roman;Times;Serif" w:hAnsi="Times New Roman;Times;Serif"/>
          <w:b w:val="false"/>
          <w:i w:val="false"/>
          <w:caps w:val="false"/>
          <w:smallCaps w:val="false"/>
          <w:sz w:val="20"/>
        </w:rPr>
        <w:t>. If a Holder Converts more than one (1) Note on a single Conversion Date, 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Notice of Calculation of Conversion Consideration</w:t>
      </w:r>
      <w:r>
        <w:rPr>
          <w:rFonts w:ascii="Times New Roman;Times;Serif" w:hAnsi="Times New Roman;Times;Serif"/>
          <w:b w:val="false"/>
          <w:i w:val="false"/>
          <w:caps w:val="false"/>
          <w:smallCaps w:val="false"/>
          <w:sz w:val="20"/>
        </w:rPr>
        <w:t>. If Cash Settlement or Combination Settlement applies to the Conversion of any 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Delivery of the Conversion Consideration</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i w:val="false"/>
          <w:caps w:val="false"/>
          <w:smallCaps w:val="false"/>
          <w:sz w:val="20"/>
        </w:rPr>
        <w:t xml:space="preserve">Sections 5.05(D)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5.09</w:t>
      </w:r>
      <w:r>
        <w:rPr>
          <w:rFonts w:ascii="Times New Roman;Times;Serif" w:hAnsi="Times New Roman;Times;Serif"/>
          <w:b w:val="false"/>
          <w:i w:val="false"/>
          <w:caps w:val="false"/>
          <w:smallCaps w:val="false"/>
          <w:sz w:val="20"/>
        </w:rPr>
        <w:t xml:space="preserve">, the Company will pay or deliver, as applicable, the Conversion Consideration due upon the Conversion of any Note to the Holder as follows: (i) if Cash Settlement or Combination Settlement applies to such Conversion, on or before the second (2nd) Business Day immediately after the last VWAP Trading Day of the Observation Period for such Conversion; and (ii) if Physical Settlement applies to such Conversion, on or before the second (2nd) Business Day immediately after the Conversion Date for such Conversion;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(1) any Note is Converted with a Conversion Date occurring after the Regular Record Date immediately preceding the Maturity Date; and (2) Physical Settlement applies to such Conversion, then (x) the Company will settle such Conversion on the Maturity Date (or, if the Maturity Date is not a Business Day, the next Business Day), as applicable; and (y) the Conversion Date will instead be deemed to be the Scheduled Trading Day immediately before the Maturity Date.</w:t>
      </w:r>
    </w:p>
    <w:p>
      <w:pPr>
        <w:pStyle w:val="TextBody"/>
        <w:bidi w:val="0"/>
        <w:spacing w:before="0" w:after="0"/>
        <w:ind w:left="36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Deemed Payment of Principal and Interest; Settlement of Accrued Interest Notwithstanding Conversion</w:t>
      </w:r>
      <w:r>
        <w:rPr>
          <w:rFonts w:ascii="Times New Roman;Times;Serif" w:hAnsi="Times New Roman;Times;Serif"/>
          <w:b w:val="false"/>
          <w:i w:val="false"/>
          <w:caps w:val="false"/>
          <w:smallCaps w:val="false"/>
          <w:sz w:val="20"/>
        </w:rPr>
        <w:t xml:space="preserve">. If a Holder Converts a Note, then the Company will not adjust the Conversion Rate to account for any accrued and unpaid interest on such Note, and, except as provided in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xml:space="preserve">, the Company’s delivery of the Conversion Consideration due in respect of such Conversion will be deemed to fully satisfy and discharge the Company’s obligation to pay the principal of, and accrued and unpaid interest on, such Note to, but excluding the relevant Conversion Date. As a result, except as provided in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xml:space="preserve">, any accrued and unpaid interest on a Converted Note will be deemed to be paid in full rather than cancelled, extinguished or forfeited. In addition, subject to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upon Conversion, accrued and unpaid interest is first paid by any cash paid upon such Conversion (other than cash paid in lieu of a fractional share) and thereafter by shares of Common Stock.</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5.04 </w:t>
      </w:r>
      <w:r>
        <w:rPr>
          <w:rFonts w:ascii="Times New Roman;Times;Serif" w:hAnsi="Times New Roman;Times;Serif"/>
          <w:b/>
          <w:i w:val="false"/>
          <w:smallCaps/>
          <w:sz w:val="20"/>
        </w:rPr>
        <w:t>Reserve and Status of Common Stock Issued Upon Conversion.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Stock Reserve</w:t>
      </w:r>
      <w:r>
        <w:rPr>
          <w:rFonts w:ascii="Times New Roman;Times;Serif" w:hAnsi="Times New Roman;Times;Serif"/>
          <w:b w:val="false"/>
          <w:i w:val="false"/>
          <w:caps w:val="false"/>
          <w:smallCaps w:val="false"/>
          <w:sz w:val="20"/>
        </w:rPr>
        <w:t xml:space="preserve">. At all times when any Notes are outstanding, the Company will reserve (out of its authorized and not outstanding shares of Common Stock that are not reserved for other purposes) a number of shares of Common Stock equal to the product of (i) the aggregate principal amount (expressed in thousands) of all then-outstanding Notes; and (ii) the Conversion Rate then in effect (assuming, for these purposes, that Physical Settlement will apply to such Conversion and the Conversion Rate is increased by the maximum amount pursuant to which the Conversion Rate may be increased pursuant to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xml:space="preserve">). To the extent the Company delivers shares of Common Stock held in its treasury in settlement of the Conversion of any Notes, each reference in the Indenture or the Notes to the issuance of shares of Common Stock in connection therewith will be deemed to include such delivery,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Status of Conversion Shares; Listing</w:t>
      </w:r>
      <w:r>
        <w:rPr>
          <w:rFonts w:ascii="Times New Roman;Times;Serif" w:hAnsi="Times New Roman;Times;Serif"/>
          <w:b w:val="false"/>
          <w:i w:val="false"/>
          <w:caps w:val="false"/>
          <w:smallCaps w:val="false"/>
          <w:sz w:val="20"/>
        </w:rPr>
        <w:t xml:space="preserve">. Each Conversion Share, if any, delivered upon Conversion of any Note will be a newly issued or treasury share (except that any Conversion Share delivered by a designated financial institution pursuant to </w:t>
      </w:r>
      <w:r>
        <w:rPr>
          <w:rFonts w:ascii="Times New Roman;Times;Serif" w:hAnsi="Times New Roman;Times;Serif"/>
          <w:b/>
          <w:i w:val="false"/>
          <w:caps w:val="false"/>
          <w:smallCaps w:val="false"/>
          <w:sz w:val="20"/>
        </w:rPr>
        <w:t>Section 5.08</w:t>
      </w:r>
      <w:r>
        <w:rPr>
          <w:rFonts w:ascii="Times New Roman;Times;Serif" w:hAnsi="Times New Roman;Times;Serif"/>
          <w:b w:val="false"/>
          <w:i w:val="false"/>
          <w:caps w:val="false"/>
          <w:smallCaps w:val="false"/>
          <w:sz w:val="20"/>
        </w:rPr>
        <w:t xml:space="preserve"> need not be a newly issued or treasury share) and will be duly authorized,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5.05 </w:t>
      </w:r>
      <w:r>
        <w:rPr>
          <w:rFonts w:ascii="Times New Roman;Times;Serif" w:hAnsi="Times New Roman;Times;Serif"/>
          <w:b/>
          <w:i w:val="false"/>
          <w:smallCaps/>
          <w:sz w:val="20"/>
        </w:rPr>
        <w:t>Adjustments to the Conversion Rate.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Events Requiring an Adjustment to the Conversion Rate</w:t>
      </w:r>
      <w:r>
        <w:rPr>
          <w:rFonts w:ascii="Times New Roman;Times;Serif" w:hAnsi="Times New Roman;Times;Serif"/>
          <w:b w:val="false"/>
          <w:i w:val="false"/>
          <w:caps w:val="false"/>
          <w:smallCaps w:val="false"/>
          <w:sz w:val="20"/>
        </w:rPr>
        <w:t>. The Conversion Rate will be adjusted from time to time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Stock Dividends, Splits and Combinations</w:t>
      </w:r>
      <w:r>
        <w:rPr>
          <w:rFonts w:ascii="Times New Roman;Times;Serif" w:hAnsi="Times New Roman;Times;Serif"/>
          <w:b w:val="false"/>
          <w:i w:val="false"/>
          <w:caps w:val="false"/>
          <w:smallCaps w:val="false"/>
          <w:sz w:val="20"/>
        </w:rPr>
        <w:t xml:space="preserve">. If the Company issues solely shares of Common Stock as a dividend or distribution on all or substantially all shares of the Common Stock, or if the Company effects a stock split or a stock combination of the Common Stock (in each case excluding an issuance solely pursuant to a Common Stock Change Event, as to which </w:t>
      </w:r>
      <w:r>
        <w:rPr>
          <w:rFonts w:ascii="Times New Roman;Times;Serif" w:hAnsi="Times New Roman;Times;Serif"/>
          <w:b/>
          <w:i w:val="false"/>
          <w:caps w:val="false"/>
          <w:smallCaps w:val="false"/>
          <w:sz w:val="20"/>
        </w:rPr>
        <w:t xml:space="preserve">Section 5.09 </w:t>
      </w:r>
      <w:r>
        <w:rPr>
          <w:rFonts w:ascii="Times New Roman;Times;Serif" w:hAnsi="Times New Roman;Times;Serif"/>
          <w:b w:val="false"/>
          <w:i w:val="false"/>
          <w:caps w:val="false"/>
          <w:smallCaps w:val="false"/>
          <w:sz w:val="20"/>
        </w:rPr>
        <w:t>will apply), then the Conversion Rate will be adjusted based on the following formula:</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1295400"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295400" cy="590550"/>
                    </a:xfrm>
                    <a:prstGeom prst="rect">
                      <a:avLst/>
                    </a:prstGeom>
                  </pic:spPr>
                </pic:pic>
              </a:graphicData>
            </a:graphic>
          </wp:inline>
        </w:drawing>
      </w:r>
    </w:p>
    <w:p>
      <w:pPr>
        <w:pStyle w:val="TextBody"/>
        <w:bidi w:val="0"/>
        <w:spacing w:before="0" w:after="0"/>
        <w:ind w:left="3990" w:right="0" w:hanging="0"/>
        <w:jc w:val="both"/>
        <w:rPr>
          <w:caps w:val="false"/>
          <w:smallCaps w:val="false"/>
          <w:color w:val="FF0000"/>
        </w:rPr>
      </w:pPr>
      <w:r>
        <w:rPr>
          <w:caps w:val="false"/>
          <w:smallCaps w:val="false"/>
          <w:color w:val="FF0000"/>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
        <w:gridCol w:w="125"/>
        <w:gridCol w:w="9715"/>
      </w:tblGrid>
      <w:tr>
        <w:trPr/>
        <w:tc>
          <w:tcPr>
            <w:tcW w:w="36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w:t>
            </w:r>
            <w:r>
              <w:rPr>
                <w:rFonts w:ascii="Times New Roman;Times;Serif" w:hAnsi="Times New Roman;Times;Serif"/>
                <w:b w:val="false"/>
                <w:i/>
                <w:caps w:val="false"/>
                <w:smallCaps w:val="false"/>
                <w:position w:val="-2"/>
                <w:sz w:val="16"/>
                <w:sz w:val="20"/>
              </w:rPr>
              <w:t>0</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in effect immediately before the Open of Business on the Ex-Dividend Date for such dividend or distribution, or immediately before the Open of Business on the Effective Date of such stock split or stock combination, as applicable;</w:t>
            </w:r>
          </w:p>
        </w:tc>
      </w:tr>
      <w:tr>
        <w:trPr/>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1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36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w:t>
            </w:r>
            <w:r>
              <w:rPr>
                <w:rFonts w:ascii="Times New Roman;Times;Serif" w:hAnsi="Times New Roman;Times;Serif"/>
                <w:b w:val="false"/>
                <w:i/>
                <w:caps w:val="false"/>
                <w:smallCaps w:val="false"/>
                <w:position w:val="-2"/>
                <w:sz w:val="16"/>
                <w:sz w:val="20"/>
              </w:rPr>
              <w:t>1</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in effect immediately after the Open of Business on such Ex-Dividend Date or Effective Date, as applicable;</w:t>
            </w:r>
          </w:p>
        </w:tc>
      </w:tr>
      <w:tr>
        <w:trPr/>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1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w:t>
            </w:r>
            <w:r>
              <w:rPr>
                <w:rFonts w:ascii="Times New Roman;Times;Serif" w:hAnsi="Times New Roman;Times;Serif"/>
                <w:b w:val="false"/>
                <w:i w:val="false"/>
                <w:caps w:val="false"/>
                <w:smallCaps w:val="false"/>
                <w:position w:val="-2"/>
                <w:sz w:val="16"/>
                <w:sz w:val="20"/>
              </w:rPr>
              <w:t>0</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outstanding immediately before the Open of Business on such Ex-Dividend Date or Effective Date, as applicable, without giving effect to such dividend, distribution, stock split or stock combination; and</w:t>
            </w:r>
          </w:p>
        </w:tc>
      </w:tr>
      <w:tr>
        <w:trPr/>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1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36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OS</w:t>
            </w:r>
            <w:r>
              <w:rPr>
                <w:rFonts w:ascii="Times New Roman;Times;Serif" w:hAnsi="Times New Roman;Times;Serif"/>
                <w:b w:val="false"/>
                <w:i/>
                <w:caps w:val="false"/>
                <w:smallCaps w:val="false"/>
                <w:position w:val="-2"/>
                <w:sz w:val="16"/>
                <w:sz w:val="20"/>
              </w:rPr>
              <w:t>1</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outstanding immediately after giving effect to such dividend, distribution, stock split or stock combination.</w:t>
            </w:r>
          </w:p>
        </w:tc>
      </w:tr>
    </w:tbl>
    <w:p>
      <w:pPr>
        <w:pStyle w:val="TextBody"/>
        <w:bidi w:val="0"/>
        <w:spacing w:before="0" w:after="0"/>
        <w:ind w:left="406" w:right="0" w:hanging="277"/>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dividend, distribution, stock split or stock combination of the type described in this </w:t>
      </w:r>
      <w:r>
        <w:rPr>
          <w:rFonts w:ascii="Times New Roman;Times;Serif" w:hAnsi="Times New Roman;Times;Serif"/>
          <w:b/>
          <w:i w:val="false"/>
          <w:caps w:val="false"/>
          <w:smallCaps w:val="false"/>
          <w:sz w:val="20"/>
        </w:rPr>
        <w:t xml:space="preserve">Section 5.05(A)(i) </w:t>
      </w:r>
      <w:r>
        <w:rPr>
          <w:rFonts w:ascii="Times New Roman;Times;Serif" w:hAnsi="Times New Roman;Times;Serif"/>
          <w:b w:val="false"/>
          <w:i w:val="false"/>
          <w:caps w:val="false"/>
          <w:smallCaps w:val="false"/>
          <w:sz w:val="20"/>
        </w:rPr>
        <w:t>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pStyle w:val="TextBody"/>
        <w:bidi w:val="0"/>
        <w:spacing w:before="0" w:after="0"/>
        <w:ind w:left="358"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Rights, Options and Warrants</w:t>
      </w:r>
      <w:r>
        <w:rPr>
          <w:rFonts w:ascii="Times New Roman;Times;Serif" w:hAnsi="Times New Roman;Times;Serif"/>
          <w:b w:val="false"/>
          <w:i w:val="false"/>
          <w:caps w:val="false"/>
          <w:smallCaps w:val="false"/>
          <w:sz w:val="20"/>
        </w:rPr>
        <w:t xml:space="preserve">. If the Company distributes, to all or substantially all holders of Common Stock, rights, options or warrants (other than rights issued or otherwise distributed pursuant to a stockholder rights plan, as to which </w:t>
      </w:r>
      <w:r>
        <w:rPr>
          <w:rFonts w:ascii="Times New Roman;Times;Serif" w:hAnsi="Times New Roman;Times;Serif"/>
          <w:b/>
          <w:i w:val="false"/>
          <w:caps w:val="false"/>
          <w:smallCaps w:val="false"/>
          <w:sz w:val="20"/>
        </w:rPr>
        <w:t xml:space="preserve">Sections 5.05(A)(iii)(1)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5.05(F) </w:t>
      </w:r>
      <w:r>
        <w:rPr>
          <w:rFonts w:ascii="Times New Roman;Times;Serif" w:hAnsi="Times New Roman;Times;Serif"/>
          <w:b w:val="false"/>
          <w:i w:val="false"/>
          <w:caps w:val="false"/>
          <w:smallCaps w:val="false"/>
          <w:sz w:val="20"/>
        </w:rPr>
        <w:t>will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1533525"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533525" cy="466725"/>
                    </a:xfrm>
                    <a:prstGeom prst="rect">
                      <a:avLst/>
                    </a:prstGeom>
                  </pic:spPr>
                </pic:pic>
              </a:graphicData>
            </a:graphic>
          </wp:inline>
        </w:drawing>
      </w:r>
    </w:p>
    <w:p>
      <w:pPr>
        <w:pStyle w:val="TextBody"/>
        <w:bidi w:val="0"/>
        <w:spacing w:before="0" w:after="0"/>
        <w:jc w:val="center"/>
        <w:rPr>
          <w:caps w:val="false"/>
          <w:smallCaps w:val="false"/>
          <w:color w:val="FF0000"/>
        </w:rPr>
      </w:pPr>
      <w:r>
        <w:rPr>
          <w:caps w:val="false"/>
          <w:smallCaps w:val="false"/>
          <w:color w:val="FF0000"/>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125"/>
        <w:gridCol w:w="9700"/>
      </w:tblGrid>
      <w:tr>
        <w:trPr/>
        <w:tc>
          <w:tcPr>
            <w:tcW w:w="38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w:t>
            </w:r>
            <w:r>
              <w:rPr>
                <w:rFonts w:ascii="Times New Roman;Times;Serif" w:hAnsi="Times New Roman;Times;Serif"/>
                <w:b w:val="false"/>
                <w:i w:val="false"/>
                <w:caps w:val="false"/>
                <w:smallCaps w:val="false"/>
                <w:position w:val="-2"/>
                <w:sz w:val="16"/>
                <w:sz w:val="20"/>
              </w:rPr>
              <w:t>0</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in effect immediately before the Open of Business on the Ex-Dividend Date for such distribution;</w:t>
            </w:r>
          </w:p>
        </w:tc>
      </w:tr>
      <w:tr>
        <w:trPr/>
        <w:tc>
          <w:tcPr>
            <w:tcW w:w="380"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0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w:t>
            </w:r>
            <w:r>
              <w:rPr>
                <w:rFonts w:ascii="Times New Roman;Times;Serif" w:hAnsi="Times New Roman;Times;Serif"/>
                <w:b w:val="false"/>
                <w:i/>
                <w:caps w:val="false"/>
                <w:smallCaps w:val="false"/>
                <w:position w:val="-2"/>
                <w:sz w:val="16"/>
                <w:sz w:val="20"/>
              </w:rPr>
              <w:t>1</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in effect immediately after the Open of Business on such Ex-Dividend Date;</w:t>
            </w:r>
          </w:p>
        </w:tc>
      </w:tr>
      <w:tr>
        <w:trPr/>
        <w:tc>
          <w:tcPr>
            <w:tcW w:w="380"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0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OS </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outstanding immediately before the Open of Business on such Ex-Dividend Date;</w:t>
            </w:r>
          </w:p>
        </w:tc>
      </w:tr>
      <w:tr>
        <w:trPr/>
        <w:tc>
          <w:tcPr>
            <w:tcW w:w="380"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0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Common Stock issuable pursuant to such rights, options or warrants; and</w:t>
            </w:r>
          </w:p>
        </w:tc>
      </w:tr>
      <w:tr>
        <w:trPr/>
        <w:tc>
          <w:tcPr>
            <w:tcW w:w="380"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0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tc>
      </w:tr>
    </w:tbl>
    <w:p>
      <w:pPr>
        <w:pStyle w:val="TextBody"/>
        <w:bidi w:val="0"/>
        <w:spacing w:before="0" w:after="0"/>
        <w:ind w:left="40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options or warrants.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i w:val="false"/>
          <w:caps w:val="false"/>
          <w:smallCaps w:val="false"/>
          <w:sz w:val="20"/>
        </w:rPr>
        <w:t>Section 5.05(A)(ii)</w:t>
      </w:r>
      <w:r>
        <w:rPr>
          <w:rFonts w:ascii="Times New Roman;Times;Serif" w:hAnsi="Times New Roman;Times;Serif"/>
          <w:b w:val="false"/>
          <w:i w:val="false"/>
          <w:caps w:val="false"/>
          <w:smallCaps w:val="false"/>
          <w:sz w:val="20"/>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 and in a commercially reasonable manner.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Spin-Offs and Other Distributed Property.</w:t>
      </w:r>
    </w:p>
    <w:p>
      <w:pPr>
        <w:pStyle w:val="TextBody"/>
        <w:bidi w:val="0"/>
        <w:spacing w:before="0" w:after="0"/>
        <w:ind w:left="2520" w:right="0" w:hanging="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Distributions Other than Spin-Offs</w:t>
      </w:r>
      <w:r>
        <w:rPr>
          <w:rFonts w:ascii="Times New Roman;Times;Serif" w:hAnsi="Times New Roman;Times;Serif"/>
          <w:b w:val="false"/>
          <w:i w:val="false"/>
          <w:caps w:val="false"/>
          <w:smallCaps w:val="false"/>
          <w:sz w:val="20"/>
        </w:rPr>
        <w:t>. If the Company distributes shares of its Capital Stock, evidences of its indebtedness or other assets or property of the Company, or rights, options or warrants to acquire Capital Stock of the Company or other securities, to all or substantially all holders of the Common Stock, excluding:</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dividends, distributions, rights, options or warrants for which an adjustment to the Conversion Rate is required (or would be required without regard to </w:t>
      </w:r>
      <w:r>
        <w:rPr>
          <w:rFonts w:ascii="Times New Roman;Times;Serif" w:hAnsi="Times New Roman;Times;Serif"/>
          <w:b/>
          <w:i w:val="false"/>
          <w:caps w:val="false"/>
          <w:smallCaps w:val="false"/>
          <w:sz w:val="20"/>
        </w:rPr>
        <w:t>Section 5.05(C)</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5.05(A)(ii)</w:t>
      </w:r>
      <w:r>
        <w:rPr>
          <w:rFonts w:ascii="Times New Roman;Times;Serif" w:hAnsi="Times New Roman;Times;Serif"/>
          <w:b w:val="false"/>
          <w:i w:val="false"/>
          <w:caps w:val="false"/>
          <w:smallCaps w:val="false"/>
          <w:sz w:val="20"/>
        </w:rPr>
        <w:t>;</w:t>
      </w:r>
    </w:p>
    <w:p>
      <w:pPr>
        <w:pStyle w:val="TextBody"/>
        <w:bidi w:val="0"/>
        <w:spacing w:before="0" w:after="0"/>
        <w:ind w:left="2520" w:right="0" w:firstLine="717"/>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dividends or distributions paid exclusively in cash for which an adjustment to the Conversion Rate is required (or would be required without regard to </w:t>
      </w:r>
      <w:r>
        <w:rPr>
          <w:rFonts w:ascii="Times New Roman;Times;Serif" w:hAnsi="Times New Roman;Times;Serif"/>
          <w:b/>
          <w:i w:val="false"/>
          <w:caps w:val="false"/>
          <w:smallCaps w:val="false"/>
          <w:sz w:val="20"/>
        </w:rPr>
        <w:t>Section 5.05(C)</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i w:val="false"/>
          <w:caps w:val="false"/>
          <w:smallCaps w:val="false"/>
          <w:sz w:val="20"/>
        </w:rPr>
        <w:t>Section 5.05(A)(iv)</w:t>
      </w:r>
      <w:r>
        <w:rPr>
          <w:rFonts w:ascii="Times New Roman;Times;Serif" w:hAnsi="Times New Roman;Times;Serif"/>
          <w:b w:val="false"/>
          <w:i w:val="false"/>
          <w:caps w:val="false"/>
          <w:smallCaps w:val="false"/>
          <w:sz w:val="20"/>
        </w:rPr>
        <w:t>;</w:t>
      </w:r>
    </w:p>
    <w:p>
      <w:pPr>
        <w:pStyle w:val="TextBody"/>
        <w:bidi w:val="0"/>
        <w:spacing w:before="0" w:after="0"/>
        <w:ind w:left="2520" w:right="0" w:firstLine="717"/>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rights issued or otherwise distributed pursuant to a stockholder rights plan, except to the extent provided in </w:t>
      </w:r>
      <w:r>
        <w:rPr>
          <w:rFonts w:ascii="Times New Roman;Times;Serif" w:hAnsi="Times New Roman;Times;Serif"/>
          <w:b/>
          <w:i w:val="false"/>
          <w:caps w:val="false"/>
          <w:smallCaps w:val="false"/>
          <w:sz w:val="20"/>
        </w:rPr>
        <w:t>Section 5.05(F)</w:t>
      </w:r>
      <w:r>
        <w:rPr>
          <w:rFonts w:ascii="Times New Roman;Times;Serif" w:hAnsi="Times New Roman;Times;Serif"/>
          <w:b w:val="false"/>
          <w:i w:val="false"/>
          <w:caps w:val="false"/>
          <w:smallCaps w:val="false"/>
          <w:sz w:val="20"/>
        </w:rPr>
        <w:t>;</w:t>
      </w:r>
    </w:p>
    <w:p>
      <w:pPr>
        <w:pStyle w:val="TextBody"/>
        <w:bidi w:val="0"/>
        <w:spacing w:before="0" w:after="0"/>
        <w:ind w:left="2520" w:right="0" w:firstLine="717"/>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Spin-Offs for which an adjustment to the Conversion Rate is required (or would be required without regard to </w:t>
      </w:r>
      <w:r>
        <w:rPr>
          <w:rFonts w:ascii="Times New Roman;Times;Serif" w:hAnsi="Times New Roman;Times;Serif"/>
          <w:b/>
          <w:i w:val="false"/>
          <w:caps w:val="false"/>
          <w:smallCaps w:val="false"/>
          <w:sz w:val="20"/>
        </w:rPr>
        <w:t>Section 5.05(C)</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i w:val="false"/>
          <w:caps w:val="false"/>
          <w:smallCaps w:val="false"/>
          <w:sz w:val="20"/>
        </w:rPr>
        <w:t>Section 5.05(A)(iii)(2)</w:t>
      </w:r>
      <w:r>
        <w:rPr>
          <w:rFonts w:ascii="Times New Roman;Times;Serif" w:hAnsi="Times New Roman;Times;Serif"/>
          <w:b w:val="false"/>
          <w:i w:val="false"/>
          <w:caps w:val="false"/>
          <w:smallCaps w:val="false"/>
          <w:sz w:val="20"/>
        </w:rPr>
        <w:t>;</w:t>
      </w:r>
    </w:p>
    <w:p>
      <w:pPr>
        <w:pStyle w:val="TextBody"/>
        <w:bidi w:val="0"/>
        <w:spacing w:before="0" w:after="0"/>
        <w:ind w:left="2520" w:right="0" w:firstLine="717"/>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 distribution solely pursuant to a tender offer or exchange offer for shares of Common Stock, as to which </w:t>
      </w:r>
      <w:r>
        <w:rPr>
          <w:rFonts w:ascii="Times New Roman;Times;Serif" w:hAnsi="Times New Roman;Times;Serif"/>
          <w:b/>
          <w:i w:val="false"/>
          <w:caps w:val="false"/>
          <w:smallCaps w:val="false"/>
          <w:sz w:val="20"/>
        </w:rPr>
        <w:t xml:space="preserve">Section 5.05(A)(v) </w:t>
      </w:r>
      <w:r>
        <w:rPr>
          <w:rFonts w:ascii="Times New Roman;Times;Serif" w:hAnsi="Times New Roman;Times;Serif"/>
          <w:b w:val="false"/>
          <w:i w:val="false"/>
          <w:caps w:val="false"/>
          <w:smallCaps w:val="false"/>
          <w:sz w:val="20"/>
        </w:rPr>
        <w:t>will apply; and</w:t>
      </w:r>
    </w:p>
    <w:p>
      <w:pPr>
        <w:pStyle w:val="TextBody"/>
        <w:bidi w:val="0"/>
        <w:spacing w:before="0" w:after="0"/>
        <w:ind w:left="2520" w:right="0" w:firstLine="717"/>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 distribution solely pursuant to a Common Stock Change Event, as to which </w:t>
      </w:r>
      <w:r>
        <w:rPr>
          <w:rFonts w:ascii="Times New Roman;Times;Serif" w:hAnsi="Times New Roman;Times;Serif"/>
          <w:b/>
          <w:i w:val="false"/>
          <w:caps w:val="false"/>
          <w:smallCaps w:val="false"/>
          <w:sz w:val="20"/>
        </w:rPr>
        <w:t xml:space="preserve">Section 5.09 </w:t>
      </w:r>
      <w:r>
        <w:rPr>
          <w:rFonts w:ascii="Times New Roman;Times;Serif" w:hAnsi="Times New Roman;Times;Serif"/>
          <w:b w:val="false"/>
          <w:i w:val="false"/>
          <w:caps w:val="false"/>
          <w:smallCaps w:val="false"/>
          <w:sz w:val="20"/>
        </w:rPr>
        <w:t>will apply,</w:t>
      </w:r>
    </w:p>
    <w:p>
      <w:pPr>
        <w:pStyle w:val="TextBody"/>
        <w:bidi w:val="0"/>
        <w:spacing w:before="0" w:after="0"/>
        <w:ind w:left="25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Conversion Rate will be increased based on the following formula:</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52600" cy="533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1752600" cy="533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417" w:right="0" w:hanging="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5"/>
        <w:gridCol w:w="125"/>
        <w:gridCol w:w="9655"/>
      </w:tblGrid>
      <w:tr>
        <w:trPr/>
        <w:tc>
          <w:tcPr>
            <w:tcW w:w="42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w:t>
            </w:r>
            <w:r>
              <w:rPr>
                <w:rFonts w:ascii="Times New Roman;Times;Serif" w:hAnsi="Times New Roman;Times;Serif"/>
                <w:b w:val="false"/>
                <w:i/>
                <w:caps w:val="false"/>
                <w:smallCaps w:val="false"/>
                <w:position w:val="-2"/>
                <w:sz w:val="16"/>
                <w:sz w:val="20"/>
              </w:rPr>
              <w:t>0</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in effect immediately before the Open of Business on the Ex-Dividend Date for such distribution;</w:t>
            </w:r>
          </w:p>
        </w:tc>
      </w:tr>
      <w:tr>
        <w:trPr/>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65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w:t>
            </w:r>
            <w:r>
              <w:rPr>
                <w:rFonts w:ascii="Times New Roman;Times;Serif" w:hAnsi="Times New Roman;Times;Serif"/>
                <w:b w:val="false"/>
                <w:i w:val="false"/>
                <w:caps w:val="false"/>
                <w:smallCaps w:val="false"/>
                <w:position w:val="-2"/>
                <w:sz w:val="16"/>
                <w:sz w:val="20"/>
              </w:rPr>
              <w:t>1</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5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in effect immediately after the Open of Business on such Ex-Dividend Date;</w:t>
            </w:r>
          </w:p>
        </w:tc>
      </w:tr>
      <w:tr>
        <w:trPr/>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65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4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of the Last Reported Sale Prices per share of Common Stock for the ten (10) consecutive Trading Days ending on, and including, the Trading Day immediately before such Ex-Dividend Date; and</w:t>
            </w:r>
          </w:p>
        </w:tc>
      </w:tr>
      <w:tr>
        <w:trPr/>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65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4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FMV</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market value (as determined by the Company in good faith and in a commercially reasonable manner), as of such Ex-Dividend Date, of the shares of Capital Stock, evidences of indebtedness, assets, property, rights, options or warrants distributed per share of Common Stock pursuant to such distribution;</w:t>
            </w:r>
          </w:p>
        </w:tc>
      </w:tr>
    </w:tbl>
    <w:p>
      <w:pPr>
        <w:pStyle w:val="TextBody"/>
        <w:bidi w:val="0"/>
        <w:spacing w:before="0" w:after="0"/>
        <w:ind w:left="1260" w:right="0" w:hanging="896"/>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w:t>
      </w:r>
      <w:r>
        <w:rPr>
          <w:rFonts w:ascii="Times New Roman;Times;Serif" w:hAnsi="Times New Roman;Times;Serif"/>
          <w:b w:val="false"/>
          <w:i/>
          <w:caps w:val="false"/>
          <w:smallCaps w:val="false"/>
          <w:sz w:val="20"/>
        </w:rPr>
        <w:t xml:space="preserve">FMV </w:t>
      </w:r>
      <w:r>
        <w:rPr>
          <w:rFonts w:ascii="Times New Roman;Times;Serif" w:hAnsi="Times New Roman;Times;Serif"/>
          <w:b w:val="false"/>
          <w:i w:val="false"/>
          <w:caps w:val="false"/>
          <w:smallCaps w:val="false"/>
          <w:sz w:val="20"/>
        </w:rPr>
        <w:t xml:space="preserve">is equal to or greater than </w:t>
      </w:r>
      <w:r>
        <w:rPr>
          <w:rFonts w:ascii="Times New Roman;Times;Serif" w:hAnsi="Times New Roman;Times;Serif"/>
          <w:b w:val="false"/>
          <w:i/>
          <w:caps w:val="false"/>
          <w:smallCaps w:val="false"/>
          <w:sz w:val="20"/>
        </w:rPr>
        <w:t>SP</w:t>
      </w:r>
      <w:r>
        <w:rPr>
          <w:rFonts w:ascii="Times New Roman;Times;Serif" w:hAnsi="Times New Roman;Times;Serif"/>
          <w:b w:val="false"/>
          <w:i w:val="false"/>
          <w:caps w:val="false"/>
          <w:smallCaps w:val="false"/>
          <w:sz w:val="20"/>
        </w:rPr>
        <w:t>, then, in lieu of the foregoing adjustment to the Conversion Rate, each Holder will receive, for each $1,000 principal amount of Notes held by such Holder on the record date for such distribution, at the same time and on the same terms as holders of Common Stock, and without having to Convert its Notes, the amount and kind of shares of Capital Stock, evidences of indebtedness, assets, property, rights, options or warrants that such Holder would have received in such distribution if such Holder had owned, on such record date, a number of shares of Common Stock equal to the Conversion Rate in effect on such record date.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distribution is not so paid or made, the Conversion Rate will be readjusted to the Conversion Rate that would then be in effect had the adjustment been made on the basis of only the distribution, if any, actually made or paid.</w:t>
      </w:r>
    </w:p>
    <w:p>
      <w:pPr>
        <w:pStyle w:val="TextBody"/>
        <w:bidi w:val="0"/>
        <w:spacing w:before="0" w:after="0"/>
        <w:ind w:left="108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Spin-Offs</w:t>
      </w:r>
      <w:r>
        <w:rPr>
          <w:rFonts w:ascii="Times New Roman;Times;Serif" w:hAnsi="Times New Roman;Times;Serif"/>
          <w:b w:val="false"/>
          <w:i w:val="false"/>
          <w:caps w:val="false"/>
          <w:smallCaps w:val="false"/>
          <w:sz w:val="20"/>
        </w:rPr>
        <w:t xml:space="preserve">. If the Company distributes or dividends shares of Capital Stock of any class or series, or similar equity interests, of or relating to an Affiliate, a Subsidiary or other business unit of the Company to all or substantially all holders of the Common Stock (other than solely pursuant to (x) a Common Stock Change Event, as to which </w:t>
      </w:r>
      <w:r>
        <w:rPr>
          <w:rFonts w:ascii="Times New Roman;Times;Serif" w:hAnsi="Times New Roman;Times;Serif"/>
          <w:b/>
          <w:i w:val="false"/>
          <w:caps w:val="false"/>
          <w:smallCaps w:val="false"/>
          <w:sz w:val="20"/>
        </w:rPr>
        <w:t xml:space="preserve">Section 5.09 </w:t>
      </w:r>
      <w:r>
        <w:rPr>
          <w:rFonts w:ascii="Times New Roman;Times;Serif" w:hAnsi="Times New Roman;Times;Serif"/>
          <w:b w:val="false"/>
          <w:i w:val="false"/>
          <w:caps w:val="false"/>
          <w:smallCaps w:val="false"/>
          <w:sz w:val="20"/>
        </w:rPr>
        <w:t xml:space="preserve">will apply; or (y) a tender offer or exchange offer for shares of Common Stock, as to which </w:t>
      </w:r>
      <w:r>
        <w:rPr>
          <w:rFonts w:ascii="Times New Roman;Times;Serif" w:hAnsi="Times New Roman;Times;Serif"/>
          <w:b/>
          <w:i w:val="false"/>
          <w:caps w:val="false"/>
          <w:smallCaps w:val="false"/>
          <w:sz w:val="20"/>
        </w:rPr>
        <w:t xml:space="preserve">Section 5.05(A)(v) </w:t>
      </w:r>
      <w:r>
        <w:rPr>
          <w:rFonts w:ascii="Times New Roman;Times;Serif" w:hAnsi="Times New Roman;Times;Serif"/>
          <w:b w:val="false"/>
          <w:i w:val="false"/>
          <w:caps w:val="false"/>
          <w:smallCaps w:val="false"/>
          <w:sz w:val="20"/>
        </w:rPr>
        <w:t>will apply), and such Capital Stock or equity interests are listed or quoted (or will be listed or quoted upon the consummation of the transaction) on a U.S. national securities exchange (a “</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then the Conversion Rate will be increased based on the following formula:</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76400" cy="533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1676400" cy="533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5"/>
        <w:gridCol w:w="125"/>
        <w:gridCol w:w="9655"/>
      </w:tblGrid>
      <w:tr>
        <w:trPr/>
        <w:tc>
          <w:tcPr>
            <w:tcW w:w="42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w:t>
            </w:r>
            <w:r>
              <w:rPr>
                <w:rFonts w:ascii="Times New Roman;Times;Serif" w:hAnsi="Times New Roman;Times;Serif"/>
                <w:b w:val="false"/>
                <w:i/>
                <w:caps w:val="false"/>
                <w:smallCaps w:val="false"/>
                <w:position w:val="-2"/>
                <w:sz w:val="16"/>
                <w:sz w:val="20"/>
              </w:rPr>
              <w:t>0</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in effect immediately before the Close of Business on the last Trading Day of the Spin-Off Valuation Period for such Spin-Off;</w:t>
            </w:r>
          </w:p>
        </w:tc>
      </w:tr>
      <w:tr>
        <w:trPr/>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65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4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w:t>
            </w:r>
            <w:r>
              <w:rPr>
                <w:rFonts w:ascii="Times New Roman;Times;Serif" w:hAnsi="Times New Roman;Times;Serif"/>
                <w:b w:val="false"/>
                <w:i/>
                <w:caps w:val="false"/>
                <w:smallCaps w:val="false"/>
                <w:position w:val="-2"/>
                <w:sz w:val="16"/>
                <w:sz w:val="20"/>
              </w:rPr>
              <w:t>1</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in effect immediately after the Close of Business on the last Trading Day of the Spin-Off Valuation Period;</w:t>
            </w:r>
          </w:p>
        </w:tc>
      </w:tr>
      <w:tr>
        <w:trPr/>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65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4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FMV</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5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of (x) the average of the Last Reported Sale Prices per share or unit of the Capital Stock or equity interests distributed in such Spin-Off over the ten (10) consecutive Trading Day period (the “</w:t>
            </w:r>
            <w:r>
              <w:rPr>
                <w:rFonts w:ascii="Times New Roman;Times;Serif" w:hAnsi="Times New Roman;Times;Serif"/>
                <w:b/>
                <w:i w:val="false"/>
                <w:caps w:val="false"/>
                <w:smallCaps w:val="false"/>
                <w:sz w:val="20"/>
              </w:rPr>
              <w:t>Spin-Off Valuation Period</w:t>
            </w:r>
            <w:r>
              <w:rPr>
                <w:rFonts w:ascii="Times New Roman;Times;Serif" w:hAnsi="Times New Roman;Times;Serif"/>
                <w:b w:val="false"/>
                <w:i w:val="false"/>
                <w:caps w:val="false"/>
                <w:smallCaps w:val="false"/>
                <w:sz w:val="20"/>
              </w:rPr>
              <w:t>”)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 and</w:t>
            </w:r>
          </w:p>
        </w:tc>
      </w:tr>
      <w:tr>
        <w:trPr/>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65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4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of the Last Reported Sale Prices per share of Common Stock for each Trading Day in the Spin-Off Valuation Period.</w:t>
            </w:r>
          </w:p>
        </w:tc>
      </w:tr>
    </w:tbl>
    <w:p>
      <w:pPr>
        <w:pStyle w:val="TextBody"/>
        <w:bidi w:val="0"/>
        <w:spacing w:before="0" w:after="0"/>
        <w:ind w:left="1170" w:right="0" w:hanging="806"/>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w:t>
      </w:r>
      <w:r>
        <w:rPr>
          <w:rFonts w:ascii="Times New Roman;Times;Serif" w:hAnsi="Times New Roman;Times;Serif"/>
          <w:b/>
          <w:i w:val="false"/>
          <w:caps w:val="false"/>
          <w:smallCaps w:val="false"/>
          <w:sz w:val="20"/>
        </w:rPr>
        <w:t>Section 5.05(A)(iii)(2)</w:t>
      </w:r>
      <w:r>
        <w:rPr>
          <w:rFonts w:ascii="Times New Roman;Times;Serif" w:hAnsi="Times New Roman;Times;Serif"/>
          <w:b w:val="false"/>
          <w:i w:val="false"/>
          <w:caps w:val="false"/>
          <w:smallCaps w:val="false"/>
          <w:sz w:val="20"/>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due in respect of such Conversion, such Spin-Off Valuation Period will be deemed to consist of the Trading Days occurring in the period from, and including, the Ex-Dividend Date for such Spin-Off to, and including, such Conversion Date.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any dividend or distribution of the type set forth in this </w:t>
      </w:r>
      <w:r>
        <w:rPr>
          <w:rFonts w:ascii="Times New Roman;Times;Serif" w:hAnsi="Times New Roman;Times;Serif"/>
          <w:b/>
          <w:i w:val="false"/>
          <w:caps w:val="false"/>
          <w:smallCaps w:val="false"/>
          <w:sz w:val="20"/>
        </w:rPr>
        <w:t xml:space="preserve">Section 5.05(A)(iii)(2) </w:t>
      </w:r>
      <w:r>
        <w:rPr>
          <w:rFonts w:ascii="Times New Roman;Times;Serif" w:hAnsi="Times New Roman;Times;Serif"/>
          <w:b w:val="false"/>
          <w:i w:val="false"/>
          <w:caps w:val="false"/>
          <w:smallCaps w:val="false"/>
          <w:sz w:val="20"/>
        </w:rPr>
        <w:t>is declared but not made or paid, the Conversion Rate will be readjusted to the Conversion Rate that would then be in effect had the adjustment been made on the basis of only the dividend or distribution, if any, actually made or paid.</w:t>
      </w:r>
    </w:p>
    <w:p>
      <w:pPr>
        <w:pStyle w:val="TextBody"/>
        <w:bidi w:val="0"/>
        <w:spacing w:before="0" w:after="0"/>
        <w:ind w:left="108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Cash Dividends or Distributions</w:t>
      </w:r>
      <w:r>
        <w:rPr>
          <w:rFonts w:ascii="Times New Roman;Times;Serif" w:hAnsi="Times New Roman;Times;Serif"/>
          <w:b w:val="false"/>
          <w:i w:val="false"/>
          <w:caps w:val="false"/>
          <w:smallCaps w:val="false"/>
          <w:sz w:val="20"/>
        </w:rPr>
        <w:t>. If any cash dividend or distribution is made to all or substantially all holders of Common Stock, then the Conversion Rate will be increased based on the following formula:</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66850" cy="466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
                    <a:stretch>
                      <a:fillRect/>
                    </a:stretch>
                  </pic:blipFill>
                  <pic:spPr bwMode="auto">
                    <a:xfrm>
                      <a:off x="0" y="0"/>
                      <a:ext cx="1466850" cy="4667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125"/>
        <w:gridCol w:w="9700"/>
      </w:tblGrid>
      <w:tr>
        <w:trPr/>
        <w:tc>
          <w:tcPr>
            <w:tcW w:w="38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w:t>
            </w:r>
            <w:r>
              <w:rPr>
                <w:rFonts w:ascii="Times New Roman;Times;Serif" w:hAnsi="Times New Roman;Times;Serif"/>
                <w:b w:val="false"/>
                <w:i/>
                <w:caps w:val="false"/>
                <w:smallCaps w:val="false"/>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in effect immediately before the Open of Business on the Ex-Dividend Date for such dividend or distribution;</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7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w:t>
            </w:r>
            <w:r>
              <w:rPr>
                <w:rFonts w:ascii="Times New Roman;Times;Serif" w:hAnsi="Times New Roman;Times;Serif"/>
                <w:b w:val="false"/>
                <w:i/>
                <w:caps w:val="false"/>
                <w:smallCaps w:val="false"/>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in effect immediately after the Open of Business on such Ex-Dividend Date for such dividend or distribution;</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7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Reported Sale Price per share of Common Stock on the Trading Day immediately before such Ex-Dividend Date for such dividend or distribution; and</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70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amount distributed per share of Common Stock in such dividend or distribution;</w:t>
            </w:r>
          </w:p>
        </w:tc>
      </w:tr>
    </w:tbl>
    <w:p>
      <w:pPr>
        <w:pStyle w:val="TextBody"/>
        <w:bidi w:val="0"/>
        <w:spacing w:before="0" w:after="0"/>
        <w:ind w:left="76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w:t>
      </w:r>
      <w:r>
        <w:rPr>
          <w:rFonts w:ascii="Times New Roman;Times;Serif" w:hAnsi="Times New Roman;Times;Serif"/>
          <w:b w:val="false"/>
          <w:i/>
          <w:caps w:val="false"/>
          <w:smallCaps w:val="false"/>
          <w:sz w:val="20"/>
        </w:rPr>
        <w:t xml:space="preserve">D </w:t>
      </w:r>
      <w:r>
        <w:rPr>
          <w:rFonts w:ascii="Times New Roman;Times;Serif" w:hAnsi="Times New Roman;Times;Serif"/>
          <w:b w:val="false"/>
          <w:i w:val="false"/>
          <w:caps w:val="false"/>
          <w:smallCaps w:val="false"/>
          <w:sz w:val="20"/>
        </w:rPr>
        <w:t xml:space="preserve">is equal to or greater than </w:t>
      </w:r>
      <w:r>
        <w:rPr>
          <w:rFonts w:ascii="Times New Roman;Times;Serif" w:hAnsi="Times New Roman;Times;Serif"/>
          <w:b w:val="false"/>
          <w:i/>
          <w:caps w:val="false"/>
          <w:smallCaps w:val="false"/>
          <w:sz w:val="20"/>
        </w:rPr>
        <w:t>SP</w:t>
      </w:r>
      <w:r>
        <w:rPr>
          <w:rFonts w:ascii="Times New Roman;Times;Serif" w:hAnsi="Times New Roman;Times;Serif"/>
          <w:b w:val="false"/>
          <w:i w:val="false"/>
          <w:caps w:val="false"/>
          <w:smallCaps w:val="false"/>
          <w:sz w:val="20"/>
        </w:rPr>
        <w:t>, then, in lieu of the foregoing adjustment to the Conversion Rate, each Holder will receive, for each $1,000 principal amount of Notes held by such Holder on the record date for such dividend or distribution, at the same time and on the same terms as holders of Common Stock, and without having to Convert its Notes, the amount of cash that such Holder would have received in such dividend or distribution if such Holder had owned, on such record date, a number of shares of Common Stock equal to the Conversion Rate in effect on such record date.</w:t>
      </w:r>
    </w:p>
    <w:p>
      <w:pPr>
        <w:pStyle w:val="TextBody"/>
        <w:bidi w:val="0"/>
        <w:spacing w:before="0" w:after="0"/>
        <w:ind w:left="1080" w:right="0" w:hanging="3"/>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rPr>
        <w:t>Tender Offers or Exchange Offers</w:t>
      </w:r>
      <w:r>
        <w:rPr>
          <w:rFonts w:ascii="Times New Roman;Times;Serif" w:hAnsi="Times New Roman;Times;Serif"/>
          <w:b w:val="false"/>
          <w:i w:val="false"/>
          <w:caps w:val="false"/>
          <w:smallCaps w:val="false"/>
          <w:sz w:val="20"/>
        </w:rPr>
        <w:t>. If the Company or any of its Subsidiaries makes a payment in respect of a tender offer or exchange offer for shares of Common Stock (other than solely pursuant to an odd-lot tender offer pursuant to Rule 13e-4(h)(5) under the Exchange Act), and the value (determined as of the Expiration Time by the Company in good faith and in a commercially reasonable manner) of the cash and other consideration paid or payable per share of Common Stock in such tender or exchange offer exceeds the Last Reported Sale Price per share of Common Stock on the Trading Day immediately after the last date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on which tenders or exchanges may be made pursuant to such tender or exchange offer (as it may be amended), then the Conversion Rate will be increased based on the following formula:</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05025" cy="533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9"/>
                    <a:stretch>
                      <a:fillRect/>
                    </a:stretch>
                  </pic:blipFill>
                  <pic:spPr bwMode="auto">
                    <a:xfrm>
                      <a:off x="0" y="0"/>
                      <a:ext cx="2105025" cy="533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417" w:right="0" w:hanging="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417" w:right="0" w:hanging="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
        <w:gridCol w:w="125"/>
        <w:gridCol w:w="9715"/>
      </w:tblGrid>
      <w:tr>
        <w:trPr/>
        <w:tc>
          <w:tcPr>
            <w:tcW w:w="365"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w:t>
            </w:r>
            <w:r>
              <w:rPr>
                <w:rFonts w:ascii="Times New Roman;Times;Serif" w:hAnsi="Times New Roman;Times;Serif"/>
                <w:b w:val="false"/>
                <w:i/>
                <w:caps w:val="false"/>
                <w:smallCaps w:val="false"/>
                <w:position w:val="-2"/>
                <w:sz w:val="16"/>
                <w:sz w:val="20"/>
              </w:rPr>
              <w:t>0</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in effect immediately before the Close of Business on the last Trading Day of the Tender/Exchange Offer Valuation Period for such tender or exchange offer;</w:t>
            </w:r>
          </w:p>
        </w:tc>
      </w:tr>
      <w:tr>
        <w:trPr/>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1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36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w:t>
            </w:r>
            <w:r>
              <w:rPr>
                <w:rFonts w:ascii="Times New Roman;Times;Serif" w:hAnsi="Times New Roman;Times;Serif"/>
                <w:b w:val="false"/>
                <w:i/>
                <w:caps w:val="false"/>
                <w:smallCaps w:val="false"/>
                <w:position w:val="-2"/>
                <w:sz w:val="16"/>
                <w:sz w:val="20"/>
              </w:rPr>
              <w:t>1</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in effect immediately after the Close of Business on the last Trading Day of the Tender/Exchange Offer Valuation Period;</w:t>
            </w:r>
          </w:p>
        </w:tc>
      </w:tr>
      <w:tr>
        <w:trPr/>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1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36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value (determined as of the time (the “</w:t>
            </w:r>
            <w:r>
              <w:rPr>
                <w:rFonts w:ascii="Times New Roman;Times;Serif" w:hAnsi="Times New Roman;Times;Serif"/>
                <w:b/>
                <w:i w:val="false"/>
                <w:caps w:val="false"/>
                <w:smallCaps w:val="false"/>
                <w:sz w:val="20"/>
              </w:rPr>
              <w:t>Expiration Time</w:t>
            </w:r>
            <w:r>
              <w:rPr>
                <w:rFonts w:ascii="Times New Roman;Times;Serif" w:hAnsi="Times New Roman;Times;Serif"/>
                <w:b w:val="false"/>
                <w:i w:val="false"/>
                <w:caps w:val="false"/>
                <w:smallCaps w:val="false"/>
                <w:sz w:val="20"/>
              </w:rPr>
              <w:t>”) such tender or exchange offer expires by the Company in good faith and in a commercially reasonable manner) of all cash and other consideration paid or payable for shares of Common Stock purchased or exchanged in such tender or exchange offer;</w:t>
            </w:r>
          </w:p>
        </w:tc>
      </w:tr>
      <w:tr>
        <w:trPr/>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1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w:t>
            </w:r>
            <w:r>
              <w:rPr>
                <w:rFonts w:ascii="Times New Roman;Times;Serif" w:hAnsi="Times New Roman;Times;Serif"/>
                <w:b w:val="false"/>
                <w:i w:val="false"/>
                <w:caps w:val="false"/>
                <w:smallCaps w:val="false"/>
                <w:position w:val="-2"/>
                <w:sz w:val="16"/>
                <w:sz w:val="20"/>
              </w:rPr>
              <w:t>0</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outstanding immediately before the Expiration Time (including all shares of Common Stock accepted for purchase or exchange in such tender or exchange offer);</w:t>
            </w:r>
          </w:p>
        </w:tc>
      </w:tr>
      <w:tr>
        <w:trPr/>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1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w:t>
            </w:r>
            <w:r>
              <w:rPr>
                <w:rFonts w:ascii="Times New Roman;Times;Serif" w:hAnsi="Times New Roman;Times;Serif"/>
                <w:b w:val="false"/>
                <w:i w:val="false"/>
                <w:caps w:val="false"/>
                <w:smallCaps w:val="false"/>
                <w:position w:val="-2"/>
                <w:sz w:val="16"/>
                <w:sz w:val="20"/>
              </w:rPr>
              <w:t>1</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outstanding immediately after the Expiration Time (excluding all shares of Common Stock accepted for purchase or exchange in such tender or exchange offer); and</w:t>
            </w:r>
          </w:p>
        </w:tc>
      </w:tr>
      <w:tr>
        <w:trPr/>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71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36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w:t>
            </w:r>
          </w:p>
        </w:tc>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of the Last Reported Sale Prices per share of Common Stock over the ten (10) consecutive Trading Day period (the “</w:t>
            </w:r>
            <w:r>
              <w:rPr>
                <w:rFonts w:ascii="Times New Roman;Times;Serif" w:hAnsi="Times New Roman;Times;Serif"/>
                <w:b/>
                <w:i w:val="false"/>
                <w:caps w:val="false"/>
                <w:smallCaps w:val="false"/>
                <w:sz w:val="20"/>
              </w:rPr>
              <w:t>Tender/Exchange Offer Valuation Period</w:t>
            </w:r>
            <w:r>
              <w:rPr>
                <w:rFonts w:ascii="Times New Roman;Times;Serif" w:hAnsi="Times New Roman;Times;Serif"/>
                <w:b w:val="false"/>
                <w:i w:val="false"/>
                <w:caps w:val="false"/>
                <w:smallCaps w:val="false"/>
                <w:sz w:val="20"/>
              </w:rPr>
              <w:t>”) beginning on, and including, the Trading Day immediately after the Expiration Date;</w:t>
            </w:r>
          </w:p>
        </w:tc>
      </w:tr>
    </w:tbl>
    <w:p>
      <w:pPr>
        <w:pStyle w:val="TextBody"/>
        <w:bidi w:val="0"/>
        <w:spacing w:before="0" w:after="0"/>
        <w:ind w:left="1169" w:right="0" w:hanging="805"/>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Conversion Rate will in no event be adjusted down pursuant to this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xml:space="preserve">, except to the extent provided in the immediately following paragraph. Notwithstanding anything to the contrary in this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if (i)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due in respect of such Conversion, such Tender/Exchange Offer Valuation Period will be deemed to consist of the Trading Days occurring in the period from, and including, the Trading Day immediately after the Expiration Date to, and including, such Conversion Date.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pStyle w:val="TextBody"/>
        <w:bidi w:val="0"/>
        <w:spacing w:before="0" w:after="0"/>
        <w:ind w:left="108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No Adjustments in Certain Cases.</w:t>
      </w:r>
    </w:p>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Where Holders Participate in the Transaction or Event Without Conversion</w:t>
      </w:r>
      <w:r>
        <w:rPr>
          <w:rFonts w:ascii="Times New Roman;Times;Serif" w:hAnsi="Times New Roman;Times;Serif"/>
          <w:b w:val="false"/>
          <w:i w:val="false"/>
          <w:caps w:val="false"/>
          <w:smallCaps w:val="false"/>
          <w:sz w:val="20"/>
        </w:rPr>
        <w:t xml:space="preserve">. Notwithstanding anything to the contrary in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xml:space="preserve">, the Company will not be obligated to adjust the Conversion Rate on account of a transaction or other event otherwise requiring an adjustment pursuant to </w:t>
      </w:r>
      <w:r>
        <w:rPr>
          <w:rFonts w:ascii="Times New Roman;Times;Serif" w:hAnsi="Times New Roman;Times;Serif"/>
          <w:b/>
          <w:i w:val="false"/>
          <w:caps w:val="false"/>
          <w:smallCaps w:val="false"/>
          <w:sz w:val="20"/>
        </w:rPr>
        <w:t xml:space="preserve">Section 5.05(A) </w:t>
      </w:r>
      <w:r>
        <w:rPr>
          <w:rFonts w:ascii="Times New Roman;Times;Serif" w:hAnsi="Times New Roman;Times;Serif"/>
          <w:b w:val="false"/>
          <w:i w:val="false"/>
          <w:caps w:val="false"/>
          <w:smallCaps w:val="false"/>
          <w:sz w:val="20"/>
        </w:rPr>
        <w:t xml:space="preserve">(other than a stock split or combination of the type set forth in </w:t>
      </w:r>
      <w:r>
        <w:rPr>
          <w:rFonts w:ascii="Times New Roman;Times;Serif" w:hAnsi="Times New Roman;Times;Serif"/>
          <w:b/>
          <w:i w:val="false"/>
          <w:caps w:val="false"/>
          <w:smallCaps w:val="false"/>
          <w:sz w:val="20"/>
        </w:rPr>
        <w:t xml:space="preserve">Section 5.05(A)(i) </w:t>
      </w:r>
      <w:r>
        <w:rPr>
          <w:rFonts w:ascii="Times New Roman;Times;Serif" w:hAnsi="Times New Roman;Times;Serif"/>
          <w:b w:val="false"/>
          <w:i w:val="false"/>
          <w:caps w:val="false"/>
          <w:smallCaps w:val="false"/>
          <w:sz w:val="20"/>
        </w:rPr>
        <w:t xml:space="preserve">or a tender or exchange offer of the type set forth in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Certain Events</w:t>
      </w:r>
      <w:r>
        <w:rPr>
          <w:rFonts w:ascii="Times New Roman;Times;Serif" w:hAnsi="Times New Roman;Times;Serif"/>
          <w:b w:val="false"/>
          <w:i w:val="false"/>
          <w:caps w:val="false"/>
          <w:smallCaps w:val="false"/>
          <w:sz w:val="20"/>
        </w:rPr>
        <w:t xml:space="preserve">. The Company will not be required to adjust the Conversion Rate except as provided in </w:t>
      </w:r>
      <w:r>
        <w:rPr>
          <w:rFonts w:ascii="Times New Roman;Times;Serif" w:hAnsi="Times New Roman;Times;Serif"/>
          <w:b/>
          <w:i w:val="false"/>
          <w:caps w:val="false"/>
          <w:smallCaps w:val="false"/>
          <w:sz w:val="20"/>
        </w:rPr>
        <w:t xml:space="preserve">Section 5.05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Without limiting the foregoing, the Company will not be obligated to adjust the Conversion Rate on account of:</w:t>
      </w:r>
    </w:p>
    <w:p>
      <w:pPr>
        <w:pStyle w:val="TextBody"/>
        <w:bidi w:val="0"/>
        <w:spacing w:before="0" w:after="0"/>
        <w:ind w:left="1080" w:right="0" w:firstLine="717"/>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except as otherwise provided in </w:t>
      </w:r>
      <w:r>
        <w:rPr>
          <w:rFonts w:ascii="Times New Roman;Times;Serif" w:hAnsi="Times New Roman;Times;Serif"/>
          <w:b/>
          <w:i w:val="false"/>
          <w:caps w:val="false"/>
          <w:smallCaps w:val="false"/>
          <w:sz w:val="20"/>
        </w:rPr>
        <w:t>Section 5.05</w:t>
      </w:r>
      <w:r>
        <w:rPr>
          <w:rFonts w:ascii="Times New Roman;Times;Serif" w:hAnsi="Times New Roman;Times;Serif"/>
          <w:b w:val="false"/>
          <w:i w:val="false"/>
          <w:caps w:val="false"/>
          <w:smallCaps w:val="false"/>
          <w:sz w:val="20"/>
        </w:rPr>
        <w:t>, the sale of shares of Common Stock for a purchase price that is less than the market price per share of Common Stock or less than the Conversion Price;</w:t>
      </w:r>
    </w:p>
    <w:p>
      <w:pPr>
        <w:pStyle w:val="TextBody"/>
        <w:bidi w:val="0"/>
        <w:spacing w:before="0" w:after="0"/>
        <w:ind w:left="1080" w:right="0" w:firstLine="1437"/>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pStyle w:val="TextBody"/>
        <w:bidi w:val="0"/>
        <w:spacing w:before="0" w:after="0"/>
        <w:ind w:left="1080" w:right="0" w:firstLine="1437"/>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issuance of any shares of Common Stock or options or rights to purchase shares of Common Stock pursuant to any present or future employee, director or consultant benefit plan or program of, or assumed by, the Company or any of its Subsidiaries;</w:t>
      </w:r>
    </w:p>
    <w:p>
      <w:pPr>
        <w:pStyle w:val="TextBody"/>
        <w:bidi w:val="0"/>
        <w:spacing w:before="0" w:after="0"/>
        <w:ind w:left="1080" w:right="0" w:firstLine="1437"/>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issuance of any shares of Common Stock pursuant to any option, warrant, right or convertible or exchangeable security of the Company outstanding as of the Issue Date;</w:t>
      </w:r>
    </w:p>
    <w:p>
      <w:pPr>
        <w:pStyle w:val="TextBody"/>
        <w:bidi w:val="0"/>
        <w:spacing w:before="0" w:after="0"/>
        <w:ind w:left="1080" w:right="0" w:firstLine="1437"/>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solely a change in the par value of the Common Stock; or</w:t>
      </w:r>
    </w:p>
    <w:p>
      <w:pPr>
        <w:pStyle w:val="TextBody"/>
        <w:bidi w:val="0"/>
        <w:spacing w:before="0" w:after="0"/>
        <w:ind w:left="3239" w:right="0" w:hanging="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accrued and unpaid interest on the Notes.</w:t>
      </w:r>
    </w:p>
    <w:p>
      <w:pPr>
        <w:pStyle w:val="TextBody"/>
        <w:bidi w:val="0"/>
        <w:spacing w:before="0" w:after="0"/>
        <w:ind w:left="323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Adjustment Deferral</w:t>
      </w:r>
      <w:r>
        <w:rPr>
          <w:rFonts w:ascii="Times New Roman;Times;Serif" w:hAnsi="Times New Roman;Times;Serif"/>
          <w:b w:val="false"/>
          <w:i w:val="false"/>
          <w:caps w:val="false"/>
          <w:smallCaps w:val="false"/>
          <w:sz w:val="20"/>
        </w:rPr>
        <w:t xml:space="preserve">. If an adjustment to the Conversion Rate otherwise required by this </w:t>
      </w:r>
      <w:r>
        <w:rPr>
          <w:rFonts w:ascii="Times New Roman;Times;Serif" w:hAnsi="Times New Roman;Times;Serif"/>
          <w:b/>
          <w:i w:val="false"/>
          <w:caps w:val="false"/>
          <w:smallCaps w:val="false"/>
          <w:sz w:val="20"/>
        </w:rPr>
        <w:t xml:space="preserve">Article 5 </w:t>
      </w:r>
      <w:r>
        <w:rPr>
          <w:rFonts w:ascii="Times New Roman;Times;Serif" w:hAnsi="Times New Roman;Times;Serif"/>
          <w:b w:val="false"/>
          <w:i w:val="false"/>
          <w:caps w:val="false"/>
          <w:smallCaps w:val="false"/>
          <w:sz w:val="20"/>
        </w:rPr>
        <w:t xml:space="preserve">would result in a change of less than one percent (1%) to the Conversion Rate, then, notwithstanding anything to the contrary in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the Company may, at its election, defer and carry forward such adjustment, except that all such deferred adjustments must be given effect immediately upon the earliest of the following: (i) when all such deferred adjustments would, had they not been so deferred and carried forward, result in a change of at least one percent (1%) to the Conversion Rate; (ii) the Conversion Date of any Note (in the case of Physical Settlement), or each VWAP Trading Day of an Observation Period for any Note (in the case of Cash Settlement or Combination Settlement); (iii) the date a Fundamental Change or Make-Whole Fundamental Change occurs; (iv) the date the Company calls any Notes for Redemption; and (v) May 1, 2032.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Adjustments Not Yet Effective</w:t>
      </w:r>
      <w:r>
        <w:rPr>
          <w:rFonts w:ascii="Times New Roman;Times;Serif" w:hAnsi="Times New Roman;Times;Serif"/>
          <w:b w:val="false"/>
          <w:i w:val="false"/>
          <w:caps w:val="false"/>
          <w:smallCaps w:val="false"/>
          <w:sz w:val="20"/>
        </w:rPr>
        <w:t>. Notwithstanding anything to the contrary in the Indenture or the Notes, if:</w:t>
      </w:r>
    </w:p>
    <w:p>
      <w:pPr>
        <w:pStyle w:val="TextBody"/>
        <w:bidi w:val="0"/>
        <w:spacing w:before="0" w:after="0"/>
        <w:ind w:left="179"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Note is to be Converted and Physical Settlement or Combination Settlement applies to such Conversion;</w:t>
      </w:r>
    </w:p>
    <w:p>
      <w:pPr>
        <w:pStyle w:val="TextBody"/>
        <w:bidi w:val="0"/>
        <w:spacing w:before="0" w:after="0"/>
        <w:ind w:left="108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record date, Effective Date or Expiration Time for any event that requires an adjustment to the Conversion Rate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xml:space="preserve"> has occurred on or before the Conversion Date for such Conversion (in the case of Physical Settlement) or on or before any VWAP Trading Day in the Observation Period for such Conversion (in the case of Combination Settlement), but an adjustment to the Conversion Rate for such event has not yet become effective as of such Conversion Date or VWAP Trading Day, as applicable;</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Conversion Consideration due upon such Conversion includes whole shares of Common Stock (in the case of Physical Settlement) or due in respect of such VWAP Trading Day includes any whole or fractional shares of Common Stock (in the case of Combination Settlement); and</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shares are not entitled to participate in such event (because they were not held on the related record date or otherwise), 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Conversion Rate Adjustments Where Converting Holders Participate in the Relevant Transaction or Event</w:t>
      </w:r>
      <w:r>
        <w:rPr>
          <w:rFonts w:ascii="Times New Roman;Times;Serif" w:hAnsi="Times New Roman;Times;Serif"/>
          <w:b w:val="false"/>
          <w:i w:val="false"/>
          <w:caps w:val="false"/>
          <w:smallCaps w:val="false"/>
          <w:sz w:val="20"/>
        </w:rPr>
        <w:t>. Notwithstanding anything to the contrary in the Indenture or the Notes, if:</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Conversion Rate adjustment for any dividend or distribution becomes effective on any Ex-Dividend Date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Note is to be Converted pursuant to Physical Settlement or Combination Settlement;</w:t>
      </w:r>
    </w:p>
    <w:p>
      <w:pPr>
        <w:pStyle w:val="TextBody"/>
        <w:bidi w:val="0"/>
        <w:spacing w:before="0" w:after="0"/>
        <w:ind w:left="1195" w:right="0" w:firstLine="609"/>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Conversion Consideration due upon such Conversion includes any whole shares of Common Stock (in the case of Physical Settlement) or due in respect of such VWAP Trading Day includes any whole or fractional shares of Common Stock (in the case of Combination Settlement), in each case based on a Conversion Rate that is adjusted for such dividend or distribution; and</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such shares would be entitled to participate in such dividend or distribution (including pursuant to </w:t>
      </w:r>
      <w:r>
        <w:rPr>
          <w:rFonts w:ascii="Times New Roman;Times;Serif" w:hAnsi="Times New Roman;Times;Serif"/>
          <w:b/>
          <w:i w:val="false"/>
          <w:caps w:val="false"/>
          <w:smallCaps w:val="false"/>
          <w:sz w:val="20"/>
        </w:rPr>
        <w:t>Section 5.02(C)</w:t>
      </w:r>
      <w:r>
        <w:rPr>
          <w:rFonts w:ascii="Times New Roman;Times;Serif" w:hAnsi="Times New Roman;Times;Serif"/>
          <w:b w:val="false"/>
          <w:i w:val="false"/>
          <w:caps w:val="false"/>
          <w:smallCaps w:val="false"/>
          <w:sz w:val="20"/>
        </w:rPr>
        <w:t>),</w:t>
      </w:r>
    </w:p>
    <w:p>
      <w:pPr>
        <w:pStyle w:val="TextBody"/>
        <w:bidi w:val="0"/>
        <w:spacing w:before="0" w:after="0"/>
        <w:ind w:left="1081" w:right="0" w:firstLine="71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 the case of Physical Settlement, such Conversion Rate adjustment will not be given effect for such Conversion and the shares of Common Stock issuable upon such Conversion based on such unadjusted Conversion Rate will not be entitled to participate in such dividend or distribution, but there will be added, to the Conversion Consideration otherwise due upon such Conversion, the same kind and amount of consideration that would have been delivered in such dividend or distribution with respect to such shares of Common Stock had such shares been entitled to participate in such dividend or distribution; and</w:t>
      </w:r>
    </w:p>
    <w:p>
      <w:pPr>
        <w:pStyle w:val="TextBody"/>
        <w:bidi w:val="0"/>
        <w:spacing w:before="0" w:after="0"/>
        <w:ind w:left="108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in the case of Combination Settlement,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Stockholder Rights Plans</w:t>
      </w:r>
      <w:r>
        <w:rPr>
          <w:rFonts w:ascii="Times New Roman;Times;Serif" w:hAnsi="Times New Roman;Times;Serif"/>
          <w:b w:val="false"/>
          <w:i w:val="false"/>
          <w:caps w:val="false"/>
          <w:smallCaps w:val="false"/>
          <w:sz w:val="20"/>
        </w:rPr>
        <w:t xml:space="preserve">. If any shares of Common Stock are to be issued upon Conversion of any Note and, at the time of such Conversion, the Company has in effect any stockholder rights plan, then the Holder of such Note will be entitled to receive, in addition to, and concurrently with the delivery of, the Conversion Consideration otherwise payable under the Indenture upon such Conversion, the rights set forth in such stockholder rights plan, unless such rights have separated from the Common Stock at such time, in which case, and only in such case, the Conversion Rate will be adjusted pursuant to </w:t>
      </w:r>
      <w:r>
        <w:rPr>
          <w:rFonts w:ascii="Times New Roman;Times;Serif" w:hAnsi="Times New Roman;Times;Serif"/>
          <w:b/>
          <w:i w:val="false"/>
          <w:caps w:val="false"/>
          <w:smallCaps w:val="false"/>
          <w:sz w:val="20"/>
        </w:rPr>
        <w:t xml:space="preserve">Section 5.05(A)(iii)(1) </w:t>
      </w:r>
      <w:r>
        <w:rPr>
          <w:rFonts w:ascii="Times New Roman;Times;Serif" w:hAnsi="Times New Roman;Times;Serif"/>
          <w:b w:val="false"/>
          <w:i w:val="false"/>
          <w:caps w:val="false"/>
          <w:smallCaps w:val="false"/>
          <w:sz w:val="20"/>
        </w:rPr>
        <w:t xml:space="preserve">on account of such separation as if, at the time of such separation, the Company had made a distribution of the type referred to in such Section to all holders of the Common Stock, subject to potential readjustment in accordance with the last paragraph of </w:t>
      </w:r>
      <w:r>
        <w:rPr>
          <w:rFonts w:ascii="Times New Roman;Times;Serif" w:hAnsi="Times New Roman;Times;Serif"/>
          <w:b/>
          <w:i w:val="false"/>
          <w:caps w:val="false"/>
          <w:smallCaps w:val="false"/>
          <w:sz w:val="20"/>
        </w:rPr>
        <w:t>Section 5.05(A)(iii)(1)</w:t>
      </w:r>
      <w:r>
        <w:rPr>
          <w:rFonts w:ascii="Times New Roman;Times;Serif" w:hAnsi="Times New Roman;Times;Serif"/>
          <w:b w:val="false"/>
          <w:i w:val="false"/>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Limitation on Effecting Transactions Resulting in Certain Adjustments</w:t>
      </w:r>
      <w:r>
        <w:rPr>
          <w:rFonts w:ascii="Times New Roman;Times;Serif" w:hAnsi="Times New Roman;Times;Serif"/>
          <w:b w:val="false"/>
          <w:i w:val="false"/>
          <w:caps w:val="false"/>
          <w:smallCaps w:val="false"/>
          <w:sz w:val="20"/>
        </w:rPr>
        <w:t xml:space="preserve">. The Company will not engage in or be a party to any transaction or event that would require the Conversion Rate to be adjusted pursuant to </w:t>
      </w:r>
      <w:r>
        <w:rPr>
          <w:rFonts w:ascii="Times New Roman;Times;Serif" w:hAnsi="Times New Roman;Times;Serif"/>
          <w:b/>
          <w:i w:val="false"/>
          <w:caps w:val="false"/>
          <w:smallCaps w:val="false"/>
          <w:sz w:val="20"/>
        </w:rPr>
        <w:t xml:space="preserve">Section 5.05(A)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 xml:space="preserve">Section 5.07 </w:t>
      </w:r>
      <w:r>
        <w:rPr>
          <w:rFonts w:ascii="Times New Roman;Times;Serif" w:hAnsi="Times New Roman;Times;Serif"/>
          <w:b w:val="false"/>
          <w:i w:val="false"/>
          <w:caps w:val="false"/>
          <w:smallCaps w:val="false"/>
          <w:sz w:val="20"/>
        </w:rPr>
        <w:t>to an amount that would result in the Conversion Price per share of Common Stock being less than the par value per share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Equitable Adjustments to Prices</w:t>
      </w:r>
      <w:r>
        <w:rPr>
          <w:rFonts w:ascii="Times New Roman;Times;Serif" w:hAnsi="Times New Roman;Times;Serif"/>
          <w:b w:val="false"/>
          <w:i w:val="false"/>
          <w:caps w:val="false"/>
          <w:smallCaps w:val="false"/>
          <w:sz w:val="20"/>
        </w:rPr>
        <w:t>. Whenever any provision of the Indenture requires the Company to calculate the average of the Last Reported Sale Prices, or any function thereof, the Daily VWAPs, the Daily Conversion Values, the Daily Cash Amounts or the Daily Share Amounts over a period of multiple days (including over an Observation Period, to calculate an adjustment to the Conversion Rate and the period, if any, for determining the Stock Price for purposes of a Make-Whole Fundamental Change), the Company will, acting in good faith and in a commercially reasonable manner, make appropriate adjustments, if any, to those calculations to account for any adjustment to the Conversion Rate that becomes effective, or any event requiring an adjustment to the Conversion Rate where the Ex-Dividend Date, Effective Date or Expiration Date, as applicable, of the event occurs, at any time during such period or Observation Period, as applicable.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Calculation of Number of Outstanding Shares of Common Stock</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the number of shares of Common Stock 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Calculations</w:t>
      </w:r>
      <w:r>
        <w:rPr>
          <w:rFonts w:ascii="Times New Roman;Times;Serif" w:hAnsi="Times New Roman;Times;Serif"/>
          <w:b w:val="false"/>
          <w:i w:val="false"/>
          <w:caps w:val="false"/>
          <w:smallCaps w:val="false"/>
          <w:sz w:val="20"/>
        </w:rPr>
        <w:t>. All calculations with respect to the Conversion Rate and adjustments thereto will be made to the nearest 1/10,000th of a share of Common Stock (with 5/100,000ths rounded upward) or to the nearest cent (with 0.5 of a cent rounded upward), as applicable.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Notice of Conversion Rate Adjustments</w:t>
      </w:r>
      <w:r>
        <w:rPr>
          <w:rFonts w:ascii="Times New Roman;Times;Serif" w:hAnsi="Times New Roman;Times;Serif"/>
          <w:b w:val="false"/>
          <w:i w:val="false"/>
          <w:caps w:val="false"/>
          <w:smallCaps w:val="false"/>
          <w:sz w:val="20"/>
        </w:rPr>
        <w:t xml:space="preserve">. Upon the effectiveness of any adjustment to the Conversion Rate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the Company will promptly send notice to the Holders, the Trustee and the Conversion Agent (if other than the Trustee) containing (i) a brief description of the transaction or other event on account of which such adjustment was made; (ii) the Conversion Rate in effect immediately after such adjustment; and (iii) the effective time of such adjustment.</w:t>
      </w:r>
    </w:p>
    <w:p>
      <w:pPr>
        <w:pStyle w:val="TextBody"/>
        <w:bidi w:val="0"/>
        <w:spacing w:before="0" w:after="0"/>
        <w:ind w:left="36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5.06 </w:t>
      </w:r>
      <w:r>
        <w:rPr>
          <w:rFonts w:ascii="Times New Roman;Times;Serif" w:hAnsi="Times New Roman;Times;Serif"/>
          <w:b/>
          <w:i w:val="false"/>
          <w:smallCaps/>
          <w:sz w:val="20"/>
        </w:rPr>
        <w:t>Voluntary Adjustments.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To the extent permitted by law and applicable stock exchange rules, the Company, from time to time, may (but is not required to) increase the Conversion Rate by any amount if (x)the Board of Directors determines that such increase is either (x) in the best interest of the Company;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Notice of Voluntary Increases</w:t>
      </w:r>
      <w:r>
        <w:rPr>
          <w:rFonts w:ascii="Times New Roman;Times;Serif" w:hAnsi="Times New Roman;Times;Serif"/>
          <w:b w:val="false"/>
          <w:i w:val="false"/>
          <w:caps w:val="false"/>
          <w:smallCaps w:val="false"/>
          <w:sz w:val="20"/>
        </w:rPr>
        <w:t xml:space="preserve">. If the Board of Directors determines to increase the Conversion Rate pursuant to </w:t>
      </w:r>
      <w:r>
        <w:rPr>
          <w:rFonts w:ascii="Times New Roman;Times;Serif" w:hAnsi="Times New Roman;Times;Serif"/>
          <w:b/>
          <w:i w:val="false"/>
          <w:caps w:val="false"/>
          <w:smallCaps w:val="false"/>
          <w:sz w:val="20"/>
        </w:rPr>
        <w:t>Section 5.06(A)</w:t>
      </w:r>
      <w:r>
        <w:rPr>
          <w:rFonts w:ascii="Times New Roman;Times;Serif" w:hAnsi="Times New Roman;Times;Serif"/>
          <w:b w:val="false"/>
          <w:i w:val="false"/>
          <w:caps w:val="false"/>
          <w:smallCaps w:val="false"/>
          <w:sz w:val="20"/>
        </w:rPr>
        <w:t xml:space="preserve">, then, no later than the first Business Day of the related twenty (20) or more Business Day period referred to in </w:t>
      </w:r>
      <w:r>
        <w:rPr>
          <w:rFonts w:ascii="Times New Roman;Times;Serif" w:hAnsi="Times New Roman;Times;Serif"/>
          <w:b/>
          <w:i w:val="false"/>
          <w:caps w:val="false"/>
          <w:smallCaps w:val="false"/>
          <w:sz w:val="20"/>
        </w:rPr>
        <w:t>Section 5.06(A)</w:t>
      </w:r>
      <w:r>
        <w:rPr>
          <w:rFonts w:ascii="Times New Roman;Times;Serif" w:hAnsi="Times New Roman;Times;Serif"/>
          <w:b w:val="false"/>
          <w:i w:val="false"/>
          <w:caps w:val="false"/>
          <w:smallCaps w:val="false"/>
          <w:sz w:val="20"/>
        </w:rPr>
        <w:t>, the Company will send notice to each Holder, the Trustee and the Conversion Agent of such increase, the amount thereof and the period during which such increase will be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5.07 </w:t>
      </w:r>
      <w:r>
        <w:rPr>
          <w:rFonts w:ascii="Times New Roman;Times;Serif" w:hAnsi="Times New Roman;Times;Serif"/>
          <w:b/>
          <w:i w:val="false"/>
          <w:smallCaps/>
          <w:sz w:val="20"/>
        </w:rPr>
        <w:t>Adjustments to the Conversion Rate in Connection with a Make-Whole Fundamental Change.</w:t>
      </w:r>
    </w:p>
    <w:p>
      <w:pPr>
        <w:pStyle w:val="TextBody"/>
        <w:bidi w:val="0"/>
        <w:spacing w:before="0" w:after="0"/>
        <w:ind w:left="360" w:right="0" w:hanging="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If a Make-Whole Fundamental Change occurs and the Conversion Date for the Conversion of a Note occurs during the related Make-Whole Fundamental Change Conversion Period, then, subject to this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the Conversion Rate applicable to such Conversion will be increased by a number of shares (the “</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set forth in the table below corresponding (after interpolation as provided in, and subject to, the provisions below) to the Make-Whole Fundamental Change Effective Date and the Stock Price of such Make-Whole Fundamental Change: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1865"/>
        <w:gridCol w:w="60"/>
        <w:gridCol w:w="60"/>
        <w:gridCol w:w="590"/>
        <w:gridCol w:w="60"/>
        <w:gridCol w:w="60"/>
        <w:gridCol w:w="64"/>
        <w:gridCol w:w="631"/>
        <w:gridCol w:w="60"/>
        <w:gridCol w:w="60"/>
        <w:gridCol w:w="64"/>
        <w:gridCol w:w="631"/>
        <w:gridCol w:w="60"/>
        <w:gridCol w:w="60"/>
        <w:gridCol w:w="64"/>
        <w:gridCol w:w="631"/>
        <w:gridCol w:w="60"/>
        <w:gridCol w:w="60"/>
        <w:gridCol w:w="64"/>
        <w:gridCol w:w="631"/>
        <w:gridCol w:w="60"/>
        <w:gridCol w:w="60"/>
        <w:gridCol w:w="64"/>
        <w:gridCol w:w="631"/>
        <w:gridCol w:w="60"/>
        <w:gridCol w:w="60"/>
        <w:gridCol w:w="64"/>
        <w:gridCol w:w="631"/>
        <w:gridCol w:w="60"/>
        <w:gridCol w:w="60"/>
        <w:gridCol w:w="64"/>
        <w:gridCol w:w="631"/>
        <w:gridCol w:w="60"/>
        <w:gridCol w:w="60"/>
        <w:gridCol w:w="64"/>
        <w:gridCol w:w="631"/>
        <w:gridCol w:w="60"/>
        <w:gridCol w:w="60"/>
        <w:gridCol w:w="64"/>
        <w:gridCol w:w="631"/>
        <w:gridCol w:w="75"/>
      </w:tblGrid>
      <w:tr>
        <w:trPr/>
        <w:tc>
          <w:tcPr>
            <w:tcW w:w="18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Make-Whole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5" w:type="dxa"/>
            <w:gridSpan w:val="38"/>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5"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Price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Effective Date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shd w:fill="FFFFFF" w:val="clear"/>
            <w:tcMar>
              <w:bottom w:w="28" w:type="dxa"/>
            </w:tcMar>
            <w:vAlign w:val="center"/>
          </w:tcPr>
          <w:p>
            <w:pPr>
              <w:pStyle w:val="TableContents"/>
              <w:bidi w:val="0"/>
              <w:spacing w:before="0" w:after="0"/>
              <w:ind w:left="43"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$825.00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8,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0.7151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0"/>
              <w:ind w:left="133"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0.7134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0"/>
              <w:ind w:left="133"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0"/>
              <w:ind w:left="133"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0"/>
              <w:ind w:left="133"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0.9458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0.5490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0"/>
              <w:ind w:left="133"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0.7845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0"/>
              <w:ind w:left="133"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0.7979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0.4966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0"/>
              <w:ind w:left="133"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1" w:type="dxa"/>
            <w:tcBorders/>
            <w:shd w:fill="FFFFFF" w:val="clear"/>
            <w:vAlign w:val="center"/>
          </w:tcPr>
          <w:p>
            <w:pPr>
              <w:pStyle w:val="TableContents"/>
              <w:bidi w:val="0"/>
              <w:spacing w:before="0" w:after="0"/>
              <w:ind w:left="133"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Make-Whole Fundamental Change Effective Date or Stock Price is not set forth in the table above, then: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Stock Price is greater than $825.00 (subject to adjustment in the same manner as the Stock Prices set forth in the column headings of the table above are adjusted pursuant to </w:t>
      </w:r>
      <w:r>
        <w:rPr>
          <w:rFonts w:ascii="Times New Roman;Times;Serif" w:hAnsi="Times New Roman;Times;Serif"/>
          <w:b/>
          <w:i w:val="false"/>
          <w:caps w:val="false"/>
          <w:smallCaps w:val="false"/>
          <w:sz w:val="20"/>
        </w:rPr>
        <w:t>Section 5.07(B)</w:t>
      </w:r>
      <w:r>
        <w:rPr>
          <w:rFonts w:ascii="Times New Roman;Times;Serif" w:hAnsi="Times New Roman;Times;Serif"/>
          <w:b w:val="false"/>
          <w:i w:val="false"/>
          <w:caps w:val="false"/>
          <w:smallCaps w:val="false"/>
          <w:sz w:val="20"/>
        </w:rPr>
        <w:t>), or less than $88.95 (subject to adjustment in the same manner), per share of Common Stock, then no Additional Shares of Common Stock will be added to the Conversion Rate.</w:t>
      </w:r>
    </w:p>
    <w:p>
      <w:pPr>
        <w:pStyle w:val="TextBody"/>
        <w:bidi w:val="0"/>
        <w:spacing w:before="0" w:after="0"/>
        <w:ind w:left="108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the Indenture or the Notes, in no event will the Conversion Rate be increased to an amount that exceeds 11.2422 shares of Common Stock per $1,000 principal amount of Notes, which amount is subject to adjustment in the same manner as, and at the same time and for the same events for which, the Conversion Rate is required to be adjusted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but subject to </w:t>
      </w:r>
      <w:r>
        <w:rPr>
          <w:rFonts w:ascii="Times New Roman;Times;Serif" w:hAnsi="Times New Roman;Times;Serif"/>
          <w:b/>
          <w:i w:val="false"/>
          <w:caps w:val="false"/>
          <w:smallCaps w:val="false"/>
          <w:sz w:val="20"/>
        </w:rPr>
        <w:t>Section 4.03(I)</w:t>
      </w:r>
      <w:r>
        <w:rPr>
          <w:rFonts w:ascii="Times New Roman;Times;Serif" w:hAnsi="Times New Roman;Times;Serif"/>
          <w:b w:val="false"/>
          <w:i w:val="false"/>
          <w:caps w:val="false"/>
          <w:smallCaps w:val="false"/>
          <w:sz w:val="20"/>
        </w:rPr>
        <w:t xml:space="preserve">, (x) the sending of a Redemption Notice will constitute a Make-Whole Fundamental Change only with respect to the Notes called (or deemed called) for Redemption pursuant to such Redemption Notice, and not with respect to any other Notes; and (y) the Conversion Rate applicable to the Notes not so called (or deemed called) for Redemption will not be subject to increase pursuant to this </w:t>
      </w:r>
      <w:r>
        <w:rPr>
          <w:rFonts w:ascii="Times New Roman;Times;Serif" w:hAnsi="Times New Roman;Times;Serif"/>
          <w:b/>
          <w:i w:val="false"/>
          <w:caps w:val="false"/>
          <w:smallCaps w:val="false"/>
          <w:sz w:val="20"/>
        </w:rPr>
        <w:t xml:space="preserve">Section 5.07 </w:t>
      </w:r>
      <w:r>
        <w:rPr>
          <w:rFonts w:ascii="Times New Roman;Times;Serif" w:hAnsi="Times New Roman;Times;Serif"/>
          <w:b w:val="false"/>
          <w:i w:val="false"/>
          <w:caps w:val="false"/>
          <w:smallCaps w:val="false"/>
          <w:sz w:val="20"/>
        </w:rPr>
        <w:t>on account of such Redemption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Adjustment of Stock Prices and Number of Additional Shares</w:t>
      </w:r>
      <w:r>
        <w:rPr>
          <w:rFonts w:ascii="Times New Roman;Times;Serif" w:hAnsi="Times New Roman;Times;Serif"/>
          <w:b w:val="false"/>
          <w:i w:val="false"/>
          <w:caps w:val="false"/>
          <w:smallCaps w:val="false"/>
          <w:sz w:val="20"/>
        </w:rPr>
        <w:t>. The Stock Prices in the first row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the column headers) of the table set forth in </w:t>
      </w:r>
      <w:r>
        <w:rPr>
          <w:rFonts w:ascii="Times New Roman;Times;Serif" w:hAnsi="Times New Roman;Times;Serif"/>
          <w:b/>
          <w:i w:val="false"/>
          <w:caps w:val="false"/>
          <w:smallCaps w:val="false"/>
          <w:sz w:val="20"/>
        </w:rPr>
        <w:t xml:space="preserve">Section 5.07(A) </w:t>
      </w:r>
      <w:r>
        <w:rPr>
          <w:rFonts w:ascii="Times New Roman;Times;Serif" w:hAnsi="Times New Roman;Times;Serif"/>
          <w:b w:val="false"/>
          <w:i w:val="false"/>
          <w:caps w:val="false"/>
          <w:smallCaps w:val="false"/>
          <w:sz w:val="20"/>
        </w:rPr>
        <w:t xml:space="preserve">will be adjusted in the same manner as, and at the same time and for the same events for which, the Conversion Price is adjusted as a result of the operation of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xml:space="preserve">. The adjusted Stock Prices will equal the Stock Prices immediately prior to such adjustment, multiplied by a fraction, the numerator of which is the Conversion Rate immediately prior to the adjustment giving rise to the Stock Price adjustment and the denominator of which is the Conversion Rate as so adjusted. The numbers of Additional Shares in the table set forth in </w:t>
      </w:r>
      <w:r>
        <w:rPr>
          <w:rFonts w:ascii="Times New Roman;Times;Serif" w:hAnsi="Times New Roman;Times;Serif"/>
          <w:b/>
          <w:i w:val="false"/>
          <w:caps w:val="false"/>
          <w:smallCaps w:val="false"/>
          <w:sz w:val="20"/>
        </w:rPr>
        <w:t>Section 5.07(A)</w:t>
      </w:r>
      <w:r>
        <w:rPr>
          <w:rFonts w:ascii="Times New Roman;Times;Serif" w:hAnsi="Times New Roman;Times;Serif"/>
          <w:b w:val="false"/>
          <w:i w:val="false"/>
          <w:caps w:val="false"/>
          <w:smallCaps w:val="false"/>
          <w:sz w:val="20"/>
        </w:rPr>
        <w:t xml:space="preserve"> will be adjusted in the same manner as, and at the same time and for the same events for which, the Conversion Rate is adjusted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Notice of the Occurrence of a Make-Whole Fundamental Change</w:t>
      </w:r>
      <w:r>
        <w:rPr>
          <w:rFonts w:ascii="Times New Roman;Times;Serif" w:hAnsi="Times New Roman;Times;Serif"/>
          <w:b w:val="false"/>
          <w:i w:val="false"/>
          <w:caps w:val="false"/>
          <w:smallCaps w:val="false"/>
          <w:sz w:val="20"/>
        </w:rPr>
        <w:t xml:space="preserve">. If a Make-Whole Fundamental Change occurs pursuant to </w:t>
      </w:r>
      <w:r>
        <w:rPr>
          <w:rFonts w:ascii="Times New Roman;Times;Serif" w:hAnsi="Times New Roman;Times;Serif"/>
          <w:b/>
          <w:i w:val="false"/>
          <w:caps w:val="false"/>
          <w:smallCaps w:val="false"/>
          <w:sz w:val="20"/>
        </w:rPr>
        <w:t xml:space="preserve">clause (A) </w:t>
      </w:r>
      <w:r>
        <w:rPr>
          <w:rFonts w:ascii="Times New Roman;Times;Serif" w:hAnsi="Times New Roman;Times;Serif"/>
          <w:b w:val="false"/>
          <w:i w:val="false"/>
          <w:caps w:val="false"/>
          <w:smallCaps w:val="false"/>
          <w:sz w:val="20"/>
        </w:rPr>
        <w:t xml:space="preserve">of the definition thereof, then, promptly and in no event later than the second Business Day immediately after the Make-Whole Fundamental Change Effective Date of such Make-Whole Fundamental Change, the Company will notify the Holders of the occurrence of such Make-Whole Fundamental Change and of such Make-Whole Fundamental Change Effective Date, briefly stating the circumstances under which the Conversion Rate will be increased pursuant to this </w:t>
      </w:r>
      <w:r>
        <w:rPr>
          <w:rFonts w:ascii="Times New Roman;Times;Serif" w:hAnsi="Times New Roman;Times;Serif"/>
          <w:b/>
          <w:i w:val="false"/>
          <w:caps w:val="false"/>
          <w:smallCaps w:val="false"/>
          <w:sz w:val="20"/>
        </w:rPr>
        <w:t xml:space="preserve">Section 5.07 </w:t>
      </w:r>
      <w:r>
        <w:rPr>
          <w:rFonts w:ascii="Times New Roman;Times;Serif" w:hAnsi="Times New Roman;Times;Serif"/>
          <w:b w:val="false"/>
          <w:i w:val="false"/>
          <w:caps w:val="false"/>
          <w:smallCaps w:val="false"/>
          <w:sz w:val="20"/>
        </w:rPr>
        <w:t xml:space="preserve">in connection with such Make-Whole Fundamental Change. The Company will notify the Holders of each Make-Whole Fundamental Change occurring pursuant to </w:t>
      </w:r>
      <w:r>
        <w:rPr>
          <w:rFonts w:ascii="Times New Roman;Times;Serif" w:hAnsi="Times New Roman;Times;Serif"/>
          <w:b/>
          <w:i w:val="false"/>
          <w:caps w:val="false"/>
          <w:smallCaps w:val="false"/>
          <w:sz w:val="20"/>
        </w:rPr>
        <w:t xml:space="preserve">clause (B) </w:t>
      </w:r>
      <w:r>
        <w:rPr>
          <w:rFonts w:ascii="Times New Roman;Times;Serif" w:hAnsi="Times New Roman;Times;Serif"/>
          <w:b w:val="false"/>
          <w:i w:val="false"/>
          <w:caps w:val="false"/>
          <w:smallCaps w:val="false"/>
          <w:sz w:val="20"/>
        </w:rPr>
        <w:t xml:space="preserve">of the definition thereof in the related Optional Redemption Notice in accordance with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 xml:space="preserve"> (with a copy to the Trustee and the Conversion Agent, if other than the Trustee).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Settlement of Cash Make-Whole Fundamental Changes</w:t>
      </w:r>
      <w:r>
        <w:rPr>
          <w:rFonts w:ascii="Times New Roman;Times;Serif" w:hAnsi="Times New Roman;Times;Serif"/>
          <w:b w:val="false"/>
          <w:i w:val="false"/>
          <w:caps w:val="false"/>
          <w:smallCaps w:val="false"/>
          <w:sz w:val="20"/>
        </w:rPr>
        <w:t xml:space="preserve">. For the avoidance of doubt, if holders of Common Stock receive solely cash in a Make-Whole Fundamental Change, then, pursuant to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Conversions of Notes will thereafter be settled no later than the second (2nd) Business Day after the relevant Conversion Date.</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5.08 </w:t>
      </w:r>
      <w:r>
        <w:rPr>
          <w:rFonts w:ascii="Times New Roman;Times;Serif" w:hAnsi="Times New Roman;Times;Serif"/>
          <w:b/>
          <w:i w:val="false"/>
          <w:smallCaps/>
          <w:sz w:val="20"/>
        </w:rPr>
        <w:t>Exchange in Lieu of Conversion.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and subject to the terms of this </w:t>
      </w:r>
      <w:r>
        <w:rPr>
          <w:rFonts w:ascii="Times New Roman;Times;Serif" w:hAnsi="Times New Roman;Times;Serif"/>
          <w:b/>
          <w:i w:val="false"/>
          <w:caps w:val="false"/>
          <w:smallCaps w:val="false"/>
          <w:sz w:val="20"/>
        </w:rPr>
        <w:t>Section 5.08</w:t>
      </w:r>
      <w:r>
        <w:rPr>
          <w:rFonts w:ascii="Times New Roman;Times;Serif" w:hAnsi="Times New Roman;Times;Serif"/>
          <w:b w:val="false"/>
          <w:i w:val="false"/>
          <w:caps w:val="false"/>
          <w:smallCaps w:val="false"/>
          <w:sz w:val="20"/>
        </w:rPr>
        <w:t>,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(if other than the Trustee) before the Close of Business on the Business Day immediately following the Conversion Date for such Note. If the Company has made such election, then: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such Note will not cease to be outstanding by reason of such exchange in lieu of Conversion;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financial institution does not accept such Note or fails to timely deliver such Conversion Consideration, then the Company will be responsible for delivering such Conversion Consideration in the manner and at the time provided in this </w:t>
      </w:r>
      <w:r>
        <w:rPr>
          <w:rFonts w:ascii="Times New Roman;Times;Serif" w:hAnsi="Times New Roman;Times;Serif"/>
          <w:b/>
          <w:i w:val="false"/>
          <w:caps w:val="false"/>
          <w:smallCaps w:val="false"/>
          <w:sz w:val="20"/>
        </w:rPr>
        <w:t xml:space="preserve">Article 5 </w:t>
      </w:r>
      <w:r>
        <w:rPr>
          <w:rFonts w:ascii="Times New Roman;Times;Serif" w:hAnsi="Times New Roman;Times;Serif"/>
          <w:b w:val="false"/>
          <w:i w:val="false"/>
          <w:caps w:val="false"/>
          <w:smallCaps w:val="false"/>
          <w:sz w:val="20"/>
        </w:rPr>
        <w:t>as if the Company had not elected to make an exchange in lieu of Conversion.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5.09 </w:t>
      </w:r>
      <w:r>
        <w:rPr>
          <w:rFonts w:ascii="Times New Roman;Times;Serif" w:hAnsi="Times New Roman;Times;Serif"/>
          <w:b/>
          <w:i w:val="false"/>
          <w:smallCaps/>
          <w:sz w:val="20"/>
        </w:rPr>
        <w:t>Effect of Common Stock Change Event.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If there occurs any:</w:t>
      </w:r>
    </w:p>
    <w:p>
      <w:pPr>
        <w:pStyle w:val="TextBody"/>
        <w:bidi w:val="0"/>
        <w:spacing w:before="0" w:after="0"/>
        <w:ind w:left="1797" w:right="0" w:hanging="717"/>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consolidation, merger, combination or binding or statutory share exchange involving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sale, lease or other transfer of all or substantially all of the assets of the Company and its Subsidiaries, taken as a whole, to any Person; or</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similar event,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as a result of which, the Common Stock is converted into, or is exchanged for, or represents solely the right to receive, other securities, cash or other property, or any combination of the foregoing (such an event, a “</w:t>
      </w:r>
      <w:r>
        <w:rPr>
          <w:rFonts w:ascii="Times New Roman;Times;Serif" w:hAnsi="Times New Roman;Times;Serif"/>
          <w:b/>
          <w:i w:val="false"/>
          <w:caps w:val="false"/>
          <w:smallCaps w:val="false"/>
          <w:sz w:val="20"/>
        </w:rPr>
        <w:t>Common Stock Change Event</w:t>
      </w:r>
      <w:r>
        <w:rPr>
          <w:rFonts w:ascii="Times New Roman;Times;Serif" w:hAnsi="Times New Roman;Times;Serif"/>
          <w:b w:val="false"/>
          <w:i w:val="false"/>
          <w:caps w:val="false"/>
          <w:smallCaps w:val="false"/>
          <w:sz w:val="20"/>
        </w:rPr>
        <w:t>,” and such other securities, cash or property, the “</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Times;Serif" w:hAnsi="Times New Roman;Times;Serif"/>
          <w:b/>
          <w:i w:val="false"/>
          <w:caps w:val="false"/>
          <w:smallCaps w:val="false"/>
          <w:sz w:val="20"/>
        </w:rPr>
        <w:t>Reference Property Unit</w:t>
      </w:r>
      <w:r>
        <w:rPr>
          <w:rFonts w:ascii="Times New Roman;Times;Serif" w:hAnsi="Times New Roman;Times;Serif"/>
          <w:b w:val="false"/>
          <w:i w:val="false"/>
          <w:caps w:val="false"/>
          <w:smallCaps w:val="false"/>
          <w:sz w:val="20"/>
        </w:rPr>
        <w:t>”), then, notwithstanding anything to the contrary in the Indenture or the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Times New Roman;Times;Serif" w:hAnsi="Times New Roman;Times;Serif"/>
          <w:b/>
          <w:i w:val="false"/>
          <w:caps w:val="false"/>
          <w:smallCaps w:val="false"/>
          <w:sz w:val="20"/>
        </w:rPr>
        <w:t xml:space="preserve">Article 5 </w:t>
      </w:r>
      <w:r>
        <w:rPr>
          <w:rFonts w:ascii="Times New Roman;Times;Serif" w:hAnsi="Times New Roman;Times;Serif"/>
          <w:b w:val="false"/>
          <w:i w:val="false"/>
          <w:caps w:val="false"/>
          <w:smallCaps w:val="false"/>
          <w:sz w:val="20"/>
        </w:rPr>
        <w:t xml:space="preserve">(or in any related definitions) were instead a reference to the same number of Reference Property Units; (II) for purposes of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each reference to any number of shares of Common Stock in such Section (or in any related definitions) will instead be deemed to be a reference to the same number of Reference Property Units; and (III) for purposes of the definitions of “Fundamental Change” and “Make-Whole Fundamental Change,” references to “Common Stock” and the Company’s “Common Equity” will be deemed to refer to the Common Equity (including depositary receipts representing Common Equity), if any, forming part of such Reference Property;</w:t>
      </w:r>
    </w:p>
    <w:p>
      <w:pPr>
        <w:pStyle w:val="TextBody"/>
        <w:bidi w:val="0"/>
        <w:spacing w:before="0" w:after="0"/>
        <w:ind w:left="108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if applicable); and (y) the amount of cash constituting such Reference Property Unit; and (II) the Company will settle each such Conversion no later than the second (2nd) Business Day after the relevant Conversion Date; and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w:t>
      </w:r>
    </w:p>
    <w:p>
      <w:pPr>
        <w:pStyle w:val="TextBody"/>
        <w:bidi w:val="0"/>
        <w:spacing w:before="0" w:after="0"/>
        <w:ind w:left="1080" w:right="0" w:firstLine="143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Conversion Agent (if other than the Trustee) of such weighted average as soon as practicable after such determination is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before the effective time of such Common Stock Change Event, the Company and the resulting, surviving or transferee Person (if not the Company) of such Common Stock Change Event (the “</w:t>
      </w:r>
      <w:r>
        <w:rPr>
          <w:rFonts w:ascii="Times New Roman;Times;Serif" w:hAnsi="Times New Roman;Times;Serif"/>
          <w:b/>
          <w:i w:val="false"/>
          <w:caps w:val="false"/>
          <w:smallCaps w:val="false"/>
          <w:sz w:val="20"/>
        </w:rPr>
        <w:t>Successor Person</w:t>
      </w:r>
      <w:r>
        <w:rPr>
          <w:rFonts w:ascii="Times New Roman;Times;Serif" w:hAnsi="Times New Roman;Times;Serif"/>
          <w:b w:val="false"/>
          <w:i w:val="false"/>
          <w:caps w:val="false"/>
          <w:smallCaps w:val="false"/>
          <w:sz w:val="20"/>
        </w:rPr>
        <w:t xml:space="preserve">”) will execute and deliver to the Trustee a supplemental indenture pursuant to </w:t>
      </w:r>
      <w:r>
        <w:rPr>
          <w:rFonts w:ascii="Times New Roman;Times;Serif" w:hAnsi="Times New Roman;Times;Serif"/>
          <w:b/>
          <w:i w:val="false"/>
          <w:caps w:val="false"/>
          <w:smallCaps w:val="false"/>
          <w:sz w:val="20"/>
        </w:rPr>
        <w:t>Section 8.01(F)</w:t>
      </w:r>
      <w:r>
        <w:rPr>
          <w:rFonts w:ascii="Times New Roman;Times;Serif" w:hAnsi="Times New Roman;Times;Serif"/>
          <w:b w:val="false"/>
          <w:i w:val="false"/>
          <w:caps w:val="false"/>
          <w:smallCaps w:val="false"/>
          <w:sz w:val="20"/>
        </w:rPr>
        <w:t xml:space="preserve">, which supplemental indenture will (x) provide for subsequent Conversions of Notes in the manner set forth in this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(y) provide for subsequent adjustments to the Conversion Rate pursuant to </w:t>
      </w:r>
      <w:r>
        <w:rPr>
          <w:rFonts w:ascii="Times New Roman;Times;Serif" w:hAnsi="Times New Roman;Times;Serif"/>
          <w:b/>
          <w:i w:val="false"/>
          <w:caps w:val="false"/>
          <w:smallCaps w:val="false"/>
          <w:sz w:val="20"/>
        </w:rPr>
        <w:t xml:space="preserve">Section 5.05(A) </w:t>
      </w:r>
      <w:r>
        <w:rPr>
          <w:rFonts w:ascii="Times New Roman;Times;Serif" w:hAnsi="Times New Roman;Times;Serif"/>
          <w:b w:val="false"/>
          <w:i w:val="false"/>
          <w:caps w:val="false"/>
          <w:smallCaps w:val="false"/>
          <w:sz w:val="20"/>
        </w:rPr>
        <w:t xml:space="preserve">in a manner consistent with this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and (z) contain such other provisions, if any, that the Company reasonably determines are appropriate to preserve the economic interests of the Holders and to give effect to the provisions of this </w:t>
      </w:r>
      <w:r>
        <w:rPr>
          <w:rFonts w:ascii="Times New Roman;Times;Serif" w:hAnsi="Times New Roman;Times;Serif"/>
          <w:b/>
          <w:i w:val="false"/>
          <w:caps w:val="false"/>
          <w:smallCaps w:val="false"/>
          <w:sz w:val="20"/>
        </w:rPr>
        <w:t>Section 5.09(A)</w:t>
      </w:r>
      <w:r>
        <w:rPr>
          <w:rFonts w:ascii="Times New Roman;Times;Serif" w:hAnsi="Times New Roman;Times;Serif"/>
          <w:b w:val="false"/>
          <w:i w:val="false"/>
          <w:caps w:val="false"/>
          <w:smallCaps w:val="false"/>
          <w:sz w:val="20"/>
        </w:rPr>
        <w:t>.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Notice of Common Stock Change Events</w:t>
      </w:r>
      <w:r>
        <w:rPr>
          <w:rFonts w:ascii="Times New Roman;Times;Serif" w:hAnsi="Times New Roman;Times;Serif"/>
          <w:b w:val="false"/>
          <w:i w:val="false"/>
          <w:caps w:val="false"/>
          <w:smallCaps w:val="false"/>
          <w:sz w:val="20"/>
        </w:rPr>
        <w:t>. The Company will provide notice of each Common Stock Change Event to Holders, the Trustee and the Conversion Agent (if other than the Trustee) no later than the second (2nd) Business Day after the effective date of such Common Stock Change Event, including a brief description of such Common Stock Change Event, its effective date and a brief description of the anticipated change in the Conversion right of the Notes.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Compliance Covenant</w:t>
      </w:r>
      <w:r>
        <w:rPr>
          <w:rFonts w:ascii="Times New Roman;Times;Serif" w:hAnsi="Times New Roman;Times;Serif"/>
          <w:b w:val="false"/>
          <w:i w:val="false"/>
          <w:caps w:val="false"/>
          <w:smallCaps w:val="false"/>
          <w:sz w:val="20"/>
        </w:rPr>
        <w:t xml:space="preserve">. The Company will not become a party to any Common Stock Change Event unless its terms are consistent with this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w:t>
      </w:r>
    </w:p>
    <w:p>
      <w:pPr>
        <w:pStyle w:val="TextBody"/>
        <w:bidi w:val="0"/>
        <w:spacing w:before="0" w:after="0"/>
        <w:ind w:left="1438"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SUCCESSORS</w:t>
      </w:r>
    </w:p>
    <w:p>
      <w:pPr>
        <w:pStyle w:val="TextBody"/>
        <w:bidi w:val="0"/>
        <w:spacing w:before="0" w:after="0"/>
        <w:ind w:left="1062"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xml:space="preserve"> will apply to the Notes in lieu of Article 10 of the Base Indenture, which will be deemed to be replaced with this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6.01 </w:t>
      </w:r>
      <w:r>
        <w:rPr>
          <w:rFonts w:ascii="Times New Roman;Times;Serif" w:hAnsi="Times New Roman;Times;Serif"/>
          <w:b/>
          <w:i w:val="false"/>
          <w:smallCaps/>
          <w:sz w:val="20"/>
        </w:rPr>
        <w:t>When the Company May Merge, Etc.</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(a “</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unless:</w:t>
      </w:r>
    </w:p>
    <w:p>
      <w:pPr>
        <w:pStyle w:val="TextBody"/>
        <w:bidi w:val="0"/>
        <w:spacing w:before="0" w:after="0"/>
        <w:ind w:left="1440" w:right="0" w:firstLine="719"/>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resulting, surviving or transferee Person either (x) is the Company or (y) if not the Company, is a Qualified Successor Entity (such Qualified Successor Entity, the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xml:space="preserve">”)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pursuant to </w:t>
      </w:r>
      <w:r>
        <w:rPr>
          <w:rFonts w:ascii="Times New Roman;Times;Serif" w:hAnsi="Times New Roman;Times;Serif"/>
          <w:b/>
          <w:i w:val="false"/>
          <w:caps w:val="false"/>
          <w:smallCaps w:val="false"/>
          <w:sz w:val="20"/>
        </w:rPr>
        <w:t>Section 8.01(E)</w:t>
      </w:r>
      <w:r>
        <w:rPr>
          <w:rFonts w:ascii="Times New Roman;Times;Serif" w:hAnsi="Times New Roman;Times;Serif"/>
          <w:b w:val="false"/>
          <w:i w:val="false"/>
          <w:caps w:val="false"/>
          <w:smallCaps w:val="false"/>
          <w:sz w:val="20"/>
        </w:rPr>
        <w:t>) all of the Company’s obligations under the Indenture and the Notes; and</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giving effect to such Business Combination Event, no Default or Event of Default will have occurred and be continuing.</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Delivery of Officer’s Certificate and Opinion of Counsel to the Trustee</w:t>
      </w:r>
      <w:r>
        <w:rPr>
          <w:rFonts w:ascii="Times New Roman;Times;Serif" w:hAnsi="Times New Roman;Times;Serif"/>
          <w:b w:val="false"/>
          <w:i w:val="false"/>
          <w:caps w:val="false"/>
          <w:smallCaps w:val="false"/>
          <w:sz w:val="20"/>
        </w:rPr>
        <w:t xml:space="preserve">. At or before the effective time of any Business Combination Event, the Company will deliver to the Trustee an Officer’s Certificate and Opinion of Counsel, each stating that (i) such Business Combination Event (and, if applicable, the related supplemental indenture) comply with </w:t>
      </w:r>
      <w:r>
        <w:rPr>
          <w:rFonts w:ascii="Times New Roman;Times;Serif" w:hAnsi="Times New Roman;Times;Serif"/>
          <w:b/>
          <w:i w:val="false"/>
          <w:caps w:val="false"/>
          <w:smallCaps w:val="false"/>
          <w:sz w:val="20"/>
        </w:rPr>
        <w:t>Section 6.01(A)</w:t>
      </w:r>
      <w:r>
        <w:rPr>
          <w:rFonts w:ascii="Times New Roman;Times;Serif" w:hAnsi="Times New Roman;Times;Serif"/>
          <w:b w:val="false"/>
          <w:i w:val="false"/>
          <w:caps w:val="false"/>
          <w:smallCaps w:val="false"/>
          <w:sz w:val="20"/>
        </w:rPr>
        <w:t>; and (ii) all conditions precedent to such Business Combination Event provided in the Indenture have been satisfied.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6.02 </w:t>
      </w:r>
      <w:r>
        <w:rPr>
          <w:rFonts w:ascii="Times New Roman;Times;Serif" w:hAnsi="Times New Roman;Times;Serif"/>
          <w:b/>
          <w:i w:val="false"/>
          <w:smallCaps/>
          <w:sz w:val="20"/>
        </w:rPr>
        <w:t>Successor Entity Substituted.</w:t>
      </w:r>
    </w:p>
    <w:p>
      <w:pPr>
        <w:pStyle w:val="TextBody"/>
        <w:bidi w:val="0"/>
        <w:spacing w:before="0" w:after="0"/>
        <w:ind w:left="0" w:right="0" w:hanging="0"/>
        <w:jc w:val="left"/>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effective time of any Business Combination Event that complies with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 the Successor Entity (if not the Company) will succeed to, and may exercise every right and power of, the Company under the Indenture and the Notes with the same effect as if such Successor Entity had been named as the Company in the Indenture and the Notes, and, except in the case of a lease, the predecessor Company will be discharged from its obligations under the Indenture and the Notes.</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6.03 </w:t>
      </w:r>
      <w:r>
        <w:rPr>
          <w:rFonts w:ascii="Times New Roman;Times;Serif" w:hAnsi="Times New Roman;Times;Serif"/>
          <w:b/>
          <w:i w:val="false"/>
          <w:smallCaps/>
          <w:sz w:val="20"/>
        </w:rPr>
        <w:t>Exclusion for Asset Transfers with Wholly Owned Subsidiaries.</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 xml:space="preserve">Article 6 </w:t>
      </w:r>
      <w:r>
        <w:rPr>
          <w:rFonts w:ascii="Times New Roman;Times;Serif" w:hAnsi="Times New Roman;Times;Serif"/>
          <w:b w:val="false"/>
          <w:i w:val="false"/>
          <w:caps w:val="false"/>
          <w:smallCaps w:val="false"/>
          <w:sz w:val="20"/>
        </w:rPr>
        <w:t>will not apply to any transfer of assets (other than by merger or consolidation) between or among the Company and any one or more of its Wholly Owned Subsidiaries.</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DEFAULTS AND REMEDIES</w:t>
      </w:r>
    </w:p>
    <w:p>
      <w:pPr>
        <w:pStyle w:val="TextBody"/>
        <w:bidi w:val="0"/>
        <w:spacing w:before="0" w:after="0"/>
        <w:ind w:left="1039"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Article 7 </w:t>
      </w:r>
      <w:r>
        <w:rPr>
          <w:rFonts w:ascii="Times New Roman;Times;Serif" w:hAnsi="Times New Roman;Times;Serif"/>
          <w:b w:val="false"/>
          <w:i w:val="false"/>
          <w:caps w:val="false"/>
          <w:smallCaps w:val="false"/>
          <w:sz w:val="20"/>
        </w:rPr>
        <w:t xml:space="preserve">will apply to the Notes in lieu of Article 6 of the Base Indenture, which will be deemed to be replaced with this </w:t>
      </w:r>
      <w:r>
        <w:rPr>
          <w:rFonts w:ascii="Times New Roman;Times;Serif" w:hAnsi="Times New Roman;Times;Serif"/>
          <w:b/>
          <w:i w:val="false"/>
          <w:caps w:val="false"/>
          <w:smallCaps w:val="false"/>
          <w:sz w:val="20"/>
        </w:rPr>
        <w:t>Article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1440" w:right="0" w:firstLine="719"/>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7.01 </w:t>
      </w:r>
      <w:r>
        <w:rPr>
          <w:rFonts w:ascii="Times New Roman;Times;Serif" w:hAnsi="Times New Roman;Times;Serif"/>
          <w:b/>
          <w:i w:val="false"/>
          <w:smallCaps/>
          <w:sz w:val="20"/>
        </w:rPr>
        <w:t>Events of Default</w:t>
      </w:r>
      <w:r>
        <w:rPr>
          <w:rFonts w:ascii="Times New Roman;Times;Serif" w:hAnsi="Times New Roman;Times;Serif"/>
          <w:b/>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Definition of Events of Default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means the occurrence of any of the following:</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default in the payment when due (whether at maturity, upon Redemption or Repurchase Upon Fundamental Change or otherwise) of the principal of, or the Redemption Price or Fundamental Change Repurchase Price for, any Note;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default for thirty (30) consecutive days in the payment when due of interest on any Note;</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Company’s failure to deliver, when required by the Indenture, a Fundamental Change Notice, or a notice pursuant to </w:t>
      </w:r>
      <w:r>
        <w:rPr>
          <w:rFonts w:ascii="Times New Roman;Times;Serif" w:hAnsi="Times New Roman;Times;Serif"/>
          <w:b/>
          <w:i w:val="false"/>
          <w:caps w:val="false"/>
          <w:smallCaps w:val="false"/>
          <w:sz w:val="20"/>
        </w:rPr>
        <w:t>Section 5.01(C)(i)(3)</w:t>
      </w:r>
      <w:r>
        <w:rPr>
          <w:rFonts w:ascii="Times New Roman;Times;Serif" w:hAnsi="Times New Roman;Times;Serif"/>
          <w:b w:val="false"/>
          <w:i w:val="false"/>
          <w:caps w:val="false"/>
          <w:smallCaps w:val="false"/>
          <w:sz w:val="20"/>
        </w:rPr>
        <w:t xml:space="preserve">, if (in the case of any notice other than a notice pursuant to </w:t>
      </w:r>
      <w:r>
        <w:rPr>
          <w:rFonts w:ascii="Times New Roman;Times;Serif" w:hAnsi="Times New Roman;Times;Serif"/>
          <w:b/>
          <w:i w:val="false"/>
          <w:caps w:val="false"/>
          <w:smallCaps w:val="false"/>
          <w:sz w:val="20"/>
        </w:rPr>
        <w:t xml:space="preserve">Section 5.01(C)(i)(3)(a)), </w:t>
      </w:r>
      <w:r>
        <w:rPr>
          <w:rFonts w:ascii="Times New Roman;Times;Serif" w:hAnsi="Times New Roman;Times;Serif"/>
          <w:b w:val="false"/>
          <w:i w:val="false"/>
          <w:caps w:val="false"/>
          <w:smallCaps w:val="false"/>
          <w:sz w:val="20"/>
        </w:rPr>
        <w:t xml:space="preserve">such failure is not cured within three (3) Business Days after its occurrence (or, in the case of a notice pursuant to </w:t>
      </w:r>
      <w:r>
        <w:rPr>
          <w:rFonts w:ascii="Times New Roman;Times;Serif" w:hAnsi="Times New Roman;Times;Serif"/>
          <w:b/>
          <w:i w:val="false"/>
          <w:caps w:val="false"/>
          <w:smallCaps w:val="false"/>
          <w:sz w:val="20"/>
        </w:rPr>
        <w:t>Section 5.01(C)(i)(3)(a)</w:t>
      </w:r>
      <w:r>
        <w:rPr>
          <w:rFonts w:ascii="Times New Roman;Times;Serif" w:hAnsi="Times New Roman;Times;Serif"/>
          <w:b w:val="false"/>
          <w:i w:val="false"/>
          <w:caps w:val="false"/>
          <w:smallCaps w:val="false"/>
          <w:sz w:val="20"/>
        </w:rPr>
        <w:t>, when due);</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default in the Company’s obligation to Convert a Note in accordance with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upon the exercise of the Conversion right with respect thereto, if such default is not cured within three (3) Business Days after its occurrence;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 default in the Company’s obligations under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3600" w:right="0" w:hanging="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 default in any of the Company’s obligations or agreements under the Indenture or the Notes (other than a default set forth in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(v</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where such default is not cured or waived within sixty (60) days after notice to the 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default by the Company or any of the Company’s Significant Subsidiaries with respect to any one or more mortgages, agreements or other instruments under which there is outstanding, or by which there is secured or evidenced, any indebtedness for money borrowed of at least sixty million dollars ($60,000,000) (or its foreign currency equivalent) in the aggregate of the Company or any of the Company’s Significant Subsidiaries, whether such indebtedness exists as of the Issue Date or is thereafter created, where such default: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constitutes a failure to pay the principal of such indebtedness when due and payable at its stated maturity, upon required repurchase, upon declaration of acceleration or otherwise, in each case after the expiration of any applicable grace period; or</w:t>
      </w:r>
    </w:p>
    <w:p>
      <w:pPr>
        <w:pStyle w:val="TextBody"/>
        <w:bidi w:val="0"/>
        <w:spacing w:before="0" w:after="0"/>
        <w:ind w:left="216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results in such indebtedness becoming or being declared due and payable before its stated maturity,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final judgment being rendered against the Company or any of its Significant Subsidiaries for the payment of at least sixty million dollars ($60,000,000) (or its foreign currency equivalent) (excluding any amounts covered by insurance), where such judgment is not discharged or stayed within sixty (60) days after (i) the date on which the right to appeal the same has expired, if no such appeal has commenced; or (ii) the date on which all rights to appeal have been extinguished;</w:t>
      </w:r>
    </w:p>
    <w:p>
      <w:pPr>
        <w:pStyle w:val="TextBody"/>
        <w:bidi w:val="0"/>
        <w:spacing w:before="0" w:after="0"/>
        <w:ind w:left="216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Company or any of its Significant Subsidiaries, pursuant to or within the meaning of any Bankruptcy Law, either:</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commences a voluntary case or proceeding;</w:t>
      </w:r>
    </w:p>
    <w:p>
      <w:pPr>
        <w:pStyle w:val="TextBody"/>
        <w:bidi w:val="0"/>
        <w:spacing w:before="0" w:after="0"/>
        <w:ind w:left="4364" w:right="0" w:hanging="764"/>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consents to the entry of an order for relief against it in an involuntary case or proceeding;</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consents to the appointment of a custodian of it or for any substantial part of its property;</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makes a general assignment for the benefit of its creditors;</w:t>
      </w:r>
    </w:p>
    <w:p>
      <w:pPr>
        <w:pStyle w:val="TextBody"/>
        <w:bidi w:val="0"/>
        <w:spacing w:before="0" w:after="0"/>
        <w:ind w:left="4364" w:right="0" w:hanging="764"/>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takes any comparable action under any foreign Bankruptcy Law; or</w:t>
      </w:r>
    </w:p>
    <w:p>
      <w:pPr>
        <w:pStyle w:val="TextBody"/>
        <w:bidi w:val="0"/>
        <w:spacing w:before="0" w:after="0"/>
        <w:ind w:left="4364" w:right="0" w:hanging="764"/>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generally is not paying its debts as they become due; or</w:t>
      </w:r>
    </w:p>
    <w:p>
      <w:pPr>
        <w:pStyle w:val="TextBody"/>
        <w:bidi w:val="0"/>
        <w:spacing w:before="0" w:after="0"/>
        <w:ind w:left="4364" w:right="0" w:hanging="764"/>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court of competent jurisdiction enters an order or decree under any Bankruptcy Law that either:</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is for relief against the Company or any of its Significant Subsidiaries in an involuntary case or proceeding;</w:t>
      </w:r>
    </w:p>
    <w:p>
      <w:pPr>
        <w:pStyle w:val="TextBody"/>
        <w:bidi w:val="0"/>
        <w:spacing w:before="0" w:after="0"/>
        <w:ind w:left="216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appoints a custodian of the Company or any of its Significant Subsidiaries, or for any substantial part of the property of the Company or any of its Significant Subsidiaries;</w:t>
      </w:r>
    </w:p>
    <w:p>
      <w:pPr>
        <w:pStyle w:val="TextBody"/>
        <w:bidi w:val="0"/>
        <w:spacing w:before="0" w:after="0"/>
        <w:ind w:left="216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orders the winding up or liquidation of the Company or any of its Significant Subsidiaries; or</w:t>
      </w:r>
    </w:p>
    <w:p>
      <w:pPr>
        <w:pStyle w:val="TextBody"/>
        <w:bidi w:val="0"/>
        <w:spacing w:before="0" w:after="0"/>
        <w:ind w:left="216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grants any similar relief under any foreign Bankruptcy Law,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in each case under this </w:t>
      </w:r>
      <w:r>
        <w:rPr>
          <w:rFonts w:ascii="Times New Roman;Times;Serif" w:hAnsi="Times New Roman;Times;Serif"/>
          <w:b/>
          <w:i w:val="false"/>
          <w:caps w:val="false"/>
          <w:smallCaps w:val="false"/>
          <w:sz w:val="20"/>
        </w:rPr>
        <w:t>Section 7.01(A)(x)</w:t>
      </w:r>
      <w:r>
        <w:rPr>
          <w:rFonts w:ascii="Times New Roman;Times;Serif" w:hAnsi="Times New Roman;Times;Serif"/>
          <w:b w:val="false"/>
          <w:i w:val="false"/>
          <w:caps w:val="false"/>
          <w:smallCaps w:val="false"/>
          <w:sz w:val="20"/>
        </w:rPr>
        <w:t>, such order or decree remains unstayed and in effect for at least sixty (60) days.</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any failure by the Company to provide any notice under the Indenture other than as set forth in </w:t>
      </w:r>
      <w:r>
        <w:rPr>
          <w:rFonts w:ascii="Times New Roman;Times;Serif" w:hAnsi="Times New Roman;Times;Serif"/>
          <w:b/>
          <w:i w:val="false"/>
          <w:caps w:val="false"/>
          <w:smallCaps w:val="false"/>
          <w:sz w:val="20"/>
        </w:rPr>
        <w:t>Section 7.01(A)(iii)</w:t>
      </w:r>
      <w:r>
        <w:rPr>
          <w:rFonts w:ascii="Times New Roman;Times;Serif" w:hAnsi="Times New Roman;Times;Serif"/>
          <w:b w:val="false"/>
          <w:i w:val="false"/>
          <w:caps w:val="false"/>
          <w:smallCaps w:val="false"/>
          <w:sz w:val="20"/>
        </w:rPr>
        <w:t xml:space="preserve"> above shall be subject to </w:t>
      </w:r>
      <w:r>
        <w:rPr>
          <w:rFonts w:ascii="Times New Roman;Times;Serif" w:hAnsi="Times New Roman;Times;Serif"/>
          <w:b/>
          <w:i w:val="false"/>
          <w:caps w:val="false"/>
          <w:smallCaps w:val="false"/>
          <w:sz w:val="20"/>
        </w:rPr>
        <w:t xml:space="preserve">Section 7.01(A)(vi) </w:t>
      </w:r>
      <w:r>
        <w:rPr>
          <w:rFonts w:ascii="Times New Roman;Times;Serif" w:hAnsi="Times New Roman;Times;Serif"/>
          <w:b w:val="false"/>
          <w:i w:val="false"/>
          <w:caps w:val="false"/>
          <w:smallCaps w:val="false"/>
          <w:sz w:val="20"/>
        </w:rPr>
        <w:t>above (including the 60-day cure period contained therein).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Cause Irrelevant</w:t>
      </w:r>
      <w:r>
        <w:rPr>
          <w:rFonts w:ascii="Times New Roman;Times;Serif" w:hAnsi="Times New Roman;Times;Serif"/>
          <w:b w:val="false"/>
          <w:i w:val="false"/>
          <w:caps w:val="false"/>
          <w:smallCaps w:val="false"/>
          <w:sz w:val="20"/>
        </w:rPr>
        <w:t xml:space="preserve">. Each of the events set forth in </w:t>
      </w:r>
      <w:r>
        <w:rPr>
          <w:rFonts w:ascii="Times New Roman;Times;Serif" w:hAnsi="Times New Roman;Times;Serif"/>
          <w:b/>
          <w:i w:val="false"/>
          <w:caps w:val="false"/>
          <w:smallCaps w:val="false"/>
          <w:sz w:val="20"/>
        </w:rPr>
        <w:t xml:space="preserve">Section 7.01(A) </w:t>
      </w:r>
      <w:r>
        <w:rPr>
          <w:rFonts w:ascii="Times New Roman;Times;Serif" w:hAnsi="Times New Roman;Times;Serif"/>
          <w:b w:val="false"/>
          <w:i w:val="false"/>
          <w:caps w:val="false"/>
          <w:smallCaps w:val="false"/>
          <w:sz w:val="20"/>
        </w:rPr>
        <w:t>will constitute an Event of Default regardless of the cause thereof or whether voluntary or involuntary or effected by operation of law or pursuant to any judgment, decree or order of any court or any order, rule or regulation of any administrative or governmental body.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7.02 </w:t>
      </w:r>
      <w:r>
        <w:rPr>
          <w:rFonts w:ascii="Times New Roman;Times;Serif" w:hAnsi="Times New Roman;Times;Serif"/>
          <w:b/>
          <w:i w:val="false"/>
          <w:smallCaps/>
          <w:sz w:val="20"/>
        </w:rPr>
        <w:t>Acceleration.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Automatic Acceleration in Certain Circumstances</w:t>
      </w:r>
      <w:r>
        <w:rPr>
          <w:rFonts w:ascii="Times New Roman;Times;Serif" w:hAnsi="Times New Roman;Times;Serif"/>
          <w:b w:val="false"/>
          <w:i w:val="false"/>
          <w:caps w:val="false"/>
          <w:smallCaps w:val="false"/>
          <w:sz w:val="20"/>
        </w:rPr>
        <w:t xml:space="preserve">. If an Event of Default set forth in </w:t>
      </w:r>
      <w:r>
        <w:rPr>
          <w:rFonts w:ascii="Times New Roman;Times;Serif" w:hAnsi="Times New Roman;Times;Serif"/>
          <w:b/>
          <w:i w:val="false"/>
          <w:caps w:val="false"/>
          <w:smallCaps w:val="false"/>
          <w:sz w:val="20"/>
        </w:rPr>
        <w:t>Section 7.01(A)(ix)</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7.01(A)(x)</w:t>
      </w:r>
      <w:r>
        <w:rPr>
          <w:rFonts w:ascii="Times New Roman;Times;Serif" w:hAnsi="Times New Roman;Times;Serif"/>
          <w:b w:val="false"/>
          <w:i w:val="false"/>
          <w:caps w:val="false"/>
          <w:smallCaps w:val="false"/>
          <w:sz w:val="20"/>
        </w:rPr>
        <w:t xml:space="preserve"> occurs with respect to the Company (and not solely with respect to a Significant Subsidiary of the Company), then the principal amount of, and all accrued and unpaid interest, if any, on, all of the Notes then outstanding will immediately become due and payable without any further action or notice by any Person.</w:t>
      </w:r>
    </w:p>
    <w:p>
      <w:pPr>
        <w:pStyle w:val="TextBody"/>
        <w:bidi w:val="0"/>
        <w:spacing w:before="0" w:after="0"/>
        <w:ind w:left="1440" w:right="0" w:hanging="2"/>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1440" w:right="0" w:hanging="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Optional Acceleration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Section 7.03</w:t>
      </w:r>
      <w:r>
        <w:rPr>
          <w:rFonts w:ascii="Times New Roman;Times;Serif" w:hAnsi="Times New Roman;Times;Serif"/>
          <w:b w:val="false"/>
          <w:i w:val="false"/>
          <w:caps w:val="false"/>
          <w:smallCaps w:val="false"/>
          <w:sz w:val="20"/>
        </w:rPr>
        <w:t xml:space="preserve">, if an Event of Default (other than an Event of Default set forth in </w:t>
      </w:r>
      <w:r>
        <w:rPr>
          <w:rFonts w:ascii="Times New Roman;Times;Serif" w:hAnsi="Times New Roman;Times;Serif"/>
          <w:b/>
          <w:i w:val="false"/>
          <w:caps w:val="false"/>
          <w:smallCaps w:val="false"/>
          <w:sz w:val="20"/>
        </w:rPr>
        <w:t xml:space="preserve">Section 7.01(A)(ix)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 xml:space="preserve">7.01(A)(x) </w:t>
      </w:r>
      <w:r>
        <w:rPr>
          <w:rFonts w:ascii="Times New Roman;Times;Serif" w:hAnsi="Times New Roman;Times;Serif"/>
          <w:b w:val="false"/>
          <w:i w:val="false"/>
          <w:caps w:val="false"/>
          <w:smallCaps w:val="false"/>
          <w:sz w:val="20"/>
        </w:rPr>
        <w:t>with respect to the Company and not solely with respect to a Significant Subsidiary of the Company) occurs and is continuing, then the Trustee, by notice to the Company, or Holders of at least twenty five percent (25%) of the aggregate principal amount of Notes then outstanding, by notice to the Company and the Trustee, may declare the principal amount of, and all accrued and unpaid interest, if any, on, all of the Notes then outstanding to become due and payable immediately. For the avoidance of doubt, if such Event of Default is not continuing at the time such notice is provided (that is, such Event of Default has been cured or waived as of such time), then such notice will not be effective to cause such amounts to become due and payable immediately.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Rescission of Acceleration</w:t>
      </w:r>
      <w:r>
        <w:rPr>
          <w:rFonts w:ascii="Times New Roman;Times;Serif" w:hAnsi="Times New Roman;Times;Serif"/>
          <w:b w:val="false"/>
          <w:i w:val="false"/>
          <w:caps w:val="false"/>
          <w:smallCaps w:val="false"/>
          <w:sz w:val="20"/>
        </w:rPr>
        <w:t>. Notwithstanding anything to the contrary in the Indenture or the Notes, the Holders of a majority in aggregate 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if any, on, the Notes that has become due solely because of such acceleration) have been cured or waived. No such rescission will affect any subsequent Default or impair any right consequent thereto.</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7.03 </w:t>
      </w:r>
      <w:r>
        <w:rPr>
          <w:rFonts w:ascii="Times New Roman;Times;Serif" w:hAnsi="Times New Roman;Times;Serif"/>
          <w:b/>
          <w:i w:val="false"/>
          <w:smallCaps/>
          <w:sz w:val="20"/>
        </w:rPr>
        <w:t>Sole Remedy for a Failure to Report.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Notwithstanding anything to the contrary in the Indenture or the Notes, the Company may elect that the sole remedy for any Event of Default (a “</w:t>
      </w:r>
      <w:r>
        <w:rPr>
          <w:rFonts w:ascii="Times New Roman;Times;Serif" w:hAnsi="Times New Roman;Times;Serif"/>
          <w:b/>
          <w:i w:val="false"/>
          <w:caps w:val="false"/>
          <w:smallCaps w:val="false"/>
          <w:sz w:val="20"/>
        </w:rPr>
        <w:t>Reporting Event of Default</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i w:val="false"/>
          <w:caps w:val="false"/>
          <w:smallCaps w:val="false"/>
          <w:sz w:val="20"/>
        </w:rPr>
        <w:t>Section 7.01(A)(vi)</w:t>
      </w:r>
      <w:r>
        <w:rPr>
          <w:rFonts w:ascii="Times New Roman;Times;Serif" w:hAnsi="Times New Roman;Times;Serif"/>
          <w:b w:val="false"/>
          <w:i w:val="false"/>
          <w:caps w:val="false"/>
          <w:smallCaps w:val="false"/>
          <w:sz w:val="20"/>
        </w:rPr>
        <w:t xml:space="preserve"> arising from the Company’s failure to comply with </w:t>
      </w:r>
      <w:r>
        <w:rPr>
          <w:rFonts w:ascii="Times New Roman;Times;Serif" w:hAnsi="Times New Roman;Times;Serif"/>
          <w:b/>
          <w:i w:val="false"/>
          <w:caps w:val="false"/>
          <w:smallCaps w:val="false"/>
          <w:sz w:val="20"/>
        </w:rPr>
        <w:t>Section 3.02</w:t>
      </w:r>
      <w:r>
        <w:rPr>
          <w:rFonts w:ascii="Times New Roman;Times;Serif" w:hAnsi="Times New Roman;Times;Serif"/>
          <w:b w:val="false"/>
          <w:i w:val="false"/>
          <w:caps w:val="false"/>
          <w:smallCaps w:val="false"/>
          <w:sz w:val="20"/>
        </w:rPr>
        <w:t xml:space="preserve"> (including the Company’s obligations under Section 314(a)(1) of the Trust Indenture Act) will, for each of the first three hundred and sixty five (365) calendar days on which such Reporting Event of Default has occurred and is continuing, consist exclusively of the accrual of Special Interest on the Notes. If the Company has made such an election, then (i) the Notes will be subject to acceleration pursuant to </w:t>
      </w:r>
      <w:r>
        <w:rPr>
          <w:rFonts w:ascii="Times New Roman;Times;Serif" w:hAnsi="Times New Roman;Times;Serif"/>
          <w:b/>
          <w:i w:val="false"/>
          <w:caps w:val="false"/>
          <w:smallCaps w:val="false"/>
          <w:sz w:val="20"/>
        </w:rPr>
        <w:t>Section 7.02</w:t>
      </w:r>
      <w:r>
        <w:rPr>
          <w:rFonts w:ascii="Times New Roman;Times;Serif" w:hAnsi="Times New Roman;Times;Serif"/>
          <w:b w:val="false"/>
          <w:i w:val="false"/>
          <w:caps w:val="false"/>
          <w:smallCaps w:val="false"/>
          <w:sz w:val="20"/>
        </w:rPr>
        <w:t xml:space="preserve"> on account of the relevant Reporting Event of Default from, and including, the three hundred and sixty-sixth (366th) calendar day on which such Reporting Event of Default has occurred and is continuing or if the Company fails to pay any accrued and unpaid Special Interest when due; and (ii) Special Interest will cease to accrue on any Notes from, and including, such three hundred sixty-sixth (366th) calendar day (it being understood that interest on any defaulted Special Interest will nonetheless accrue pursuant to </w:t>
      </w:r>
      <w:r>
        <w:rPr>
          <w:rFonts w:ascii="Times New Roman;Times;Serif" w:hAnsi="Times New Roman;Times;Serif"/>
          <w:b/>
          <w:i w:val="false"/>
          <w:caps w:val="false"/>
          <w:smallCaps w:val="false"/>
          <w:sz w:val="20"/>
        </w:rPr>
        <w:t>Section 2.04(B)</w:t>
      </w:r>
      <w:r>
        <w:rPr>
          <w:rFonts w:ascii="Times New Roman;Times;Serif" w:hAnsi="Times New Roman;Times;Serif"/>
          <w:b w:val="false"/>
          <w:i w:val="false"/>
          <w:caps w:val="false"/>
          <w:smallCaps w:val="false"/>
          <w:sz w:val="20"/>
        </w:rPr>
        <w:t>).</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Amount and Payment of Special Interest</w:t>
      </w:r>
      <w:r>
        <w:rPr>
          <w:rFonts w:ascii="Times New Roman;Times;Serif" w:hAnsi="Times New Roman;Times;Serif"/>
          <w:b w:val="false"/>
          <w:i w:val="false"/>
          <w:caps w:val="false"/>
          <w:smallCaps w:val="false"/>
          <w:sz w:val="20"/>
        </w:rPr>
        <w:t xml:space="preserve">. Any Special Interest that accrues on a Note pursuant to </w:t>
      </w:r>
      <w:r>
        <w:rPr>
          <w:rFonts w:ascii="Times New Roman;Times;Serif" w:hAnsi="Times New Roman;Times;Serif"/>
          <w:b/>
          <w:i w:val="false"/>
          <w:caps w:val="false"/>
          <w:smallCaps w:val="false"/>
          <w:sz w:val="20"/>
        </w:rPr>
        <w:t>Section 7.03(A)</w:t>
      </w:r>
      <w:r>
        <w:rPr>
          <w:rFonts w:ascii="Times New Roman;Times;Serif" w:hAnsi="Times New Roman;Times;Serif"/>
          <w:b w:val="false"/>
          <w:i w:val="false"/>
          <w:caps w:val="false"/>
          <w:smallCaps w:val="false"/>
          <w:sz w:val="20"/>
        </w:rPr>
        <w:t xml:space="preserve"> will accrue at a rate per annum equal to one quarter of one percent (0.25%) of the principal amount thereof for the first one hundred and eighty (180) days on which such Reporting Event of Default is continuing and Special Interest accrues and, thereafter, at a rate per annum equal to one half of one percent (0.50%) of the principal amount thereof, to, and including, the three hundred and sixty-fifth (365th) calendar day on which such Reporting Event of Default is continuing and Special Interest accrues. For the avoidance of doubt, any Special Interest that accrues on a Note will be in addition to the Stated Interest that accrues on such Note.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Notice of Election</w:t>
      </w:r>
      <w:r>
        <w:rPr>
          <w:rFonts w:ascii="Times New Roman;Times;Serif" w:hAnsi="Times New Roman;Times;Serif"/>
          <w:b w:val="false"/>
          <w:i w:val="false"/>
          <w:caps w:val="false"/>
          <w:smallCaps w:val="false"/>
          <w:sz w:val="20"/>
        </w:rPr>
        <w:t xml:space="preserve">. To make the election set forth in </w:t>
      </w:r>
      <w:r>
        <w:rPr>
          <w:rFonts w:ascii="Times New Roman;Times;Serif" w:hAnsi="Times New Roman;Times;Serif"/>
          <w:b/>
          <w:i w:val="false"/>
          <w:caps w:val="false"/>
          <w:smallCaps w:val="false"/>
          <w:sz w:val="20"/>
        </w:rPr>
        <w:t>Section 7.03(A)</w:t>
      </w:r>
      <w:r>
        <w:rPr>
          <w:rFonts w:ascii="Times New Roman;Times;Serif" w:hAnsi="Times New Roman;Times;Serif"/>
          <w:b w:val="false"/>
          <w:i w:val="false"/>
          <w:caps w:val="false"/>
          <w:smallCaps w:val="false"/>
          <w:sz w:val="20"/>
        </w:rPr>
        <w:t>, the Company must send to the Holders, the Trustee and the Paying Agent (if other than the Trustee), 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pStyle w:val="TextBody"/>
        <w:bidi w:val="0"/>
        <w:spacing w:before="0" w:after="0"/>
        <w:ind w:left="144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Notice to Trustee and Paying Agent; Trustee’s Disclaimer</w:t>
      </w:r>
      <w:r>
        <w:rPr>
          <w:rFonts w:ascii="Times New Roman;Times;Serif" w:hAnsi="Times New Roman;Times;Serif"/>
          <w:b w:val="false"/>
          <w:i w:val="false"/>
          <w:caps w:val="false"/>
          <w:smallCaps w:val="false"/>
          <w:sz w:val="20"/>
        </w:rPr>
        <w:t>. If Special Interest accrues on any Note, then, no later than five (5) Business 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No Effect on Other Events of Default</w:t>
      </w:r>
      <w:r>
        <w:rPr>
          <w:rFonts w:ascii="Times New Roman;Times;Serif" w:hAnsi="Times New Roman;Times;Serif"/>
          <w:b w:val="false"/>
          <w:i w:val="false"/>
          <w:caps w:val="false"/>
          <w:smallCaps w:val="false"/>
          <w:sz w:val="20"/>
        </w:rPr>
        <w:t xml:space="preserve">. No election pursuant to this </w:t>
      </w:r>
      <w:r>
        <w:rPr>
          <w:rFonts w:ascii="Times New Roman;Times;Serif" w:hAnsi="Times New Roman;Times;Serif"/>
          <w:b/>
          <w:i w:val="false"/>
          <w:caps w:val="false"/>
          <w:smallCaps w:val="false"/>
          <w:sz w:val="20"/>
        </w:rPr>
        <w:t>Section 7.03</w:t>
      </w:r>
      <w:r>
        <w:rPr>
          <w:rFonts w:ascii="Times New Roman;Times;Serif" w:hAnsi="Times New Roman;Times;Serif"/>
          <w:b w:val="false"/>
          <w:i w:val="false"/>
          <w:caps w:val="false"/>
          <w:smallCaps w:val="false"/>
          <w:sz w:val="20"/>
        </w:rPr>
        <w:t xml:space="preserve"> with respect to a Reporting Event of Default will affect the rights of any Holder with respect to any other Event of Default, including with respect to any other Reporting Event of Default.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7.04 </w:t>
      </w:r>
      <w:r>
        <w:rPr>
          <w:rFonts w:ascii="Times New Roman;Times;Serif" w:hAnsi="Times New Roman;Times;Serif"/>
          <w:b/>
          <w:i w:val="false"/>
          <w:smallCaps/>
          <w:sz w:val="20"/>
        </w:rPr>
        <w:t>Other Remedies.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Trustee May Pursue All Remedies</w:t>
      </w:r>
      <w:r>
        <w:rPr>
          <w:rFonts w:ascii="Times New Roman;Times;Serif" w:hAnsi="Times New Roman;Times;Serif"/>
          <w:b w:val="false"/>
          <w:i w:val="false"/>
          <w:caps w:val="false"/>
          <w:smallCaps w:val="false"/>
          <w:sz w:val="20"/>
        </w:rPr>
        <w:t>. If an Event of Default occurs and is continuing, then the Trustee may pursue any available remedy to collect the payment of any amounts due with respect to the Notes or to enforce the performance of any provision of the Indenture or the Notes.</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Procedural Matters</w:t>
      </w:r>
      <w:r>
        <w:rPr>
          <w:rFonts w:ascii="Times New Roman;Times;Serif" w:hAnsi="Times New Roman;Times;Serif"/>
          <w:b w:val="false"/>
          <w:i w:val="false"/>
          <w:caps w:val="false"/>
          <w:smallCaps w:val="false"/>
          <w:sz w:val="20"/>
        </w:rPr>
        <w:t>. The Trustee may maintain a proceeding even if it does not possess any of the Notes or does not 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7.05 </w:t>
      </w:r>
      <w:r>
        <w:rPr>
          <w:rFonts w:ascii="Times New Roman;Times;Serif" w:hAnsi="Times New Roman;Times;Serif"/>
          <w:b/>
          <w:i w:val="false"/>
          <w:smallCaps/>
          <w:sz w:val="20"/>
        </w:rPr>
        <w:t>Waiver of Past Defaults.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Event of Default pursuant to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(vi</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 xml:space="preserve">Section 7.01(A) </w:t>
      </w:r>
      <w:r>
        <w:rPr>
          <w:rFonts w:ascii="Times New Roman;Times;Serif" w:hAnsi="Times New Roman;Times;Serif"/>
          <w:b w:val="false"/>
          <w:i w:val="false"/>
          <w:caps w:val="false"/>
          <w:smallCaps w:val="false"/>
          <w:sz w:val="20"/>
        </w:rPr>
        <w:t xml:space="preserve">(that, in the case of </w:t>
      </w:r>
      <w:r>
        <w:rPr>
          <w:rFonts w:ascii="Times New Roman;Times;Serif" w:hAnsi="Times New Roman;Times;Serif"/>
          <w:b/>
          <w:i w:val="false"/>
          <w:caps w:val="false"/>
          <w:smallCaps w:val="false"/>
          <w:sz w:val="20"/>
        </w:rPr>
        <w:t>clause (vi</w:t>
      </w:r>
      <w:r>
        <w:rPr>
          <w:rFonts w:ascii="Times New Roman;Times;Serif" w:hAnsi="Times New Roman;Times;Serif"/>
          <w:b w:val="false"/>
          <w:i w:val="false"/>
          <w:caps w:val="false"/>
          <w:smallCaps w:val="false"/>
          <w:sz w:val="20"/>
        </w:rPr>
        <w:t>)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7.06 </w:t>
      </w:r>
      <w:r>
        <w:rPr>
          <w:rFonts w:ascii="Times New Roman;Times;Serif" w:hAnsi="Times New Roman;Times;Serif"/>
          <w:b/>
          <w:i w:val="false"/>
          <w:smallCaps/>
          <w:sz w:val="20"/>
        </w:rPr>
        <w:t>Cure of Defaults; Ability to Cure or Waive Before Event of Default Occurs.</w:t>
      </w:r>
    </w:p>
    <w:p>
      <w:pPr>
        <w:pStyle w:val="TextBody"/>
        <w:bidi w:val="0"/>
        <w:spacing w:before="0" w:after="0"/>
        <w:ind w:left="1438" w:right="0" w:hanging="2"/>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and without limiting the manner in which any Default can be cured, (A) a Default or Event of Default consisting of a failure to send a notice in accordance with the Indenture will be cured upon the sending of such notice; (B) a Default or Event of Default in making any payment on (or delivering any other consideration in respect of) any Note will be cured upon the delivery, in accordance with the Indenture, of such payment (or other consideration) together, if applicable, with Default Interest thereon; and (C) a Default or Event of Default that is (or, after notice, passage of time or both, would be) a Reporting Event of Default will be cured upon the filing of the relevant report(s) giving rise to such Reporting Event of Default;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 the cure of any Event of Default shall not invalidate any acceleration of the Notes on account of such Event of Default that was properly effected prior to such time as such Event of Default was cured and (ii) the cure of any Reporting Event of Default shall not affect the Company’s obligation to pay any Special Interest that accrues prior to the time of such cure. In addition, for the avoidance of doubt, if a Default that is not an Event of Default is cured or waived before such Default would have constituted an Event of Default, then no Event of Default will result from such Default.</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7.07 </w:t>
      </w:r>
      <w:r>
        <w:rPr>
          <w:rFonts w:ascii="Times New Roman;Times;Serif" w:hAnsi="Times New Roman;Times;Serif"/>
          <w:b/>
          <w:i w:val="false"/>
          <w:smallCaps/>
          <w:sz w:val="20"/>
        </w:rPr>
        <w:t>Control by Majority.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the Indenture or the Notes, or that, subject to Section 7.01 of the Base Indenture, the Trustee determines may be unduly prejudicial to the rights of other Holders or may involve the Trustee in liability, unless the Trustee is offered (and, if requested, provided with) security and indemnity satisfactory to the Trustee against any loss, liability or expense to the Trustee that may result from the Trustee’s following such direction.</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7.08 </w:t>
      </w:r>
      <w:r>
        <w:rPr>
          <w:rFonts w:ascii="Times New Roman;Times;Serif" w:hAnsi="Times New Roman;Times;Serif"/>
          <w:b/>
          <w:i w:val="false"/>
          <w:smallCaps/>
          <w:sz w:val="20"/>
        </w:rPr>
        <w:t>Limitation on Suits.</w:t>
      </w:r>
    </w:p>
    <w:p>
      <w:pPr>
        <w:pStyle w:val="TextBody"/>
        <w:bidi w:val="0"/>
        <w:spacing w:before="0" w:after="0"/>
        <w:ind w:left="1438"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Holder may pursue any remedy with respect to the Indenture or the Notes (except to enforce (x) its rights to receive the principal of, or the Fundamental Change Repurchase Price or Redemption Price for, or interest on, any Notes; or (y) the Company’s obligations to Convert any Notes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unless: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delivered to the Trustee notice that an Event of Default is continuing;</w:t>
      </w:r>
    </w:p>
    <w:p>
      <w:pPr>
        <w:pStyle w:val="TextBody"/>
        <w:bidi w:val="0"/>
        <w:spacing w:before="0" w:after="0"/>
        <w:ind w:left="369"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Holders of at least twenty five percent (25%) in aggregate principal amount of the Notes then outstanding deliver a written request to the Trustee to pursue such remedy;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offer and, if requested, provide to the Trustee security and indemnity satisfactory to the Trustee against any loss, liability or expense to the Trustee that may result from the Trustee’s following such request;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does not comply with such request within sixty (60) calendar days after its receipt of such request and such offer of security or indemnity;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such sixty (60) calendar day period, Holders of a majority in aggregate principal amount of the Notes then outstanding do not deliver to the Trustee a direction that is inconsistent with such request.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Note may not use the Indenture to prejudice the rights of another Holder or to obtain a preference or priority over another Holder. The Trustee will have no duty to determine whether any Holder’s use of the Indenture complies with the preceding sentence.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7.09 </w:t>
      </w:r>
      <w:r>
        <w:rPr>
          <w:rFonts w:ascii="Times New Roman;Times;Serif" w:hAnsi="Times New Roman;Times;Serif"/>
          <w:b/>
          <w:i w:val="false"/>
          <w:smallCaps/>
          <w:sz w:val="20"/>
        </w:rPr>
        <w:t>Absolute Right of Holders to Institute Suit for the Enforcement of the Right to Receive Payment and Conversion Consideration.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the Indenture or the Notes (but without limiting </w:t>
      </w:r>
      <w:r>
        <w:rPr>
          <w:rFonts w:ascii="Times New Roman;Times;Serif" w:hAnsi="Times New Roman;Times;Serif"/>
          <w:b/>
          <w:i w:val="false"/>
          <w:caps w:val="false"/>
          <w:smallCaps w:val="false"/>
          <w:sz w:val="20"/>
        </w:rPr>
        <w:t>Section 8.01</w:t>
      </w:r>
      <w:r>
        <w:rPr>
          <w:rFonts w:ascii="Times New Roman;Times;Serif" w:hAnsi="Times New Roman;Times;Serif"/>
          <w:b w:val="false"/>
          <w:i w:val="false"/>
          <w:caps w:val="false"/>
          <w:smallCaps w:val="false"/>
          <w:sz w:val="20"/>
        </w:rPr>
        <w:t xml:space="preserve">), the right of each Holder of a Note to receive payment or delivery, as applicable, of the principal of, or the Fundamental Change Repurchase Price or Redemption Price for, or any interest on, or the Conversion Consideration due pursuant to </w:t>
      </w:r>
      <w:r>
        <w:rPr>
          <w:rFonts w:ascii="Times New Roman;Times;Serif" w:hAnsi="Times New Roman;Times;Serif"/>
          <w:b/>
          <w:i w:val="false"/>
          <w:caps w:val="false"/>
          <w:smallCaps w:val="false"/>
          <w:sz w:val="20"/>
        </w:rPr>
        <w:t xml:space="preserve">Article 5 </w:t>
      </w:r>
      <w:r>
        <w:rPr>
          <w:rFonts w:ascii="Times New Roman;Times;Serif" w:hAnsi="Times New Roman;Times;Serif"/>
          <w:b w:val="false"/>
          <w:i w:val="false"/>
          <w:caps w:val="false"/>
          <w:smallCaps w:val="false"/>
          <w:sz w:val="20"/>
        </w:rPr>
        <w:t>upon Conversion of, such Note on or after the respective due dates therefor provided in the Indenture and the Notes, or to bring suit for the enforcement of any such payment or delivery on or after such respective due dates, will not be impaired or affected without the consent of such Holder.</w:t>
      </w:r>
    </w:p>
    <w:p>
      <w:pPr>
        <w:pStyle w:val="TextBody"/>
        <w:bidi w:val="0"/>
        <w:spacing w:before="0" w:after="0"/>
        <w:ind w:left="144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7.10 </w:t>
      </w:r>
      <w:r>
        <w:rPr>
          <w:rFonts w:ascii="Times New Roman;Times;Serif" w:hAnsi="Times New Roman;Times;Serif"/>
          <w:b/>
          <w:i w:val="false"/>
          <w:smallCaps/>
          <w:sz w:val="20"/>
        </w:rPr>
        <w:t>Collection Suit by Trustee.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will have the right, upon the occurrence and continuance of an Event of Default pursuant to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xml:space="preserve">, to recover judgment in its own name and as trustee of an express trust against the Company for the total unpaid or undelivered principal of, or Fundamental Change Repurchase Price or Redemption Price for, or any interest on, or Conversion Consideration due pursuant to </w:t>
      </w:r>
      <w:r>
        <w:rPr>
          <w:rFonts w:ascii="Times New Roman;Times;Serif" w:hAnsi="Times New Roman;Times;Serif"/>
          <w:b/>
          <w:i w:val="false"/>
          <w:caps w:val="false"/>
          <w:smallCaps w:val="false"/>
          <w:sz w:val="20"/>
        </w:rPr>
        <w:t xml:space="preserve">Article 5 </w:t>
      </w:r>
      <w:r>
        <w:rPr>
          <w:rFonts w:ascii="Times New Roman;Times;Serif" w:hAnsi="Times New Roman;Times;Serif"/>
          <w:b w:val="false"/>
          <w:i w:val="false"/>
          <w:caps w:val="false"/>
          <w:smallCaps w:val="false"/>
          <w:sz w:val="20"/>
        </w:rPr>
        <w:t>upon Conversion of, the Notes, as applicable, and, to the extent lawful, any Default Interest on any Defaulted Amounts, and such further amounts sufficient to cover the costs and expenses of collection, including all amounts owed to it under Section 7.06 of the Base Indenture.</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7.11 </w:t>
      </w:r>
      <w:r>
        <w:rPr>
          <w:rFonts w:ascii="Times New Roman;Times;Serif" w:hAnsi="Times New Roman;Times;Serif"/>
          <w:b/>
          <w:i w:val="false"/>
          <w:smallCaps/>
          <w:sz w:val="20"/>
        </w:rPr>
        <w:t>Trustee May File Proofs of Claim.</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Section 7.06 of the Base Indenture. To the extent that the payment of any such compensation, expenses, disbursements, advances and other amounts out of the estate in such proceeding, is denied for any reason, payment of the same will be secured by a lien on, and will be paid out of, any and all distributions, dividends, money, securities and other properties that the Holders may be entitled to receive in such proceeding (whether in liquidation or under any plan of reorganization or arrangement or otherwise). Nothing in the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7.12 </w:t>
      </w:r>
      <w:r>
        <w:rPr>
          <w:rFonts w:ascii="Times New Roman;Times;Serif" w:hAnsi="Times New Roman;Times;Serif"/>
          <w:b/>
          <w:i w:val="false"/>
          <w:smallCaps/>
          <w:sz w:val="20"/>
        </w:rPr>
        <w:t>Priorities.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will pay or deliver in the following order any money or other property that it collects pursuant to this </w:t>
      </w:r>
      <w:r>
        <w:rPr>
          <w:rFonts w:ascii="Times New Roman;Times;Serif" w:hAnsi="Times New Roman;Times;Serif"/>
          <w:b/>
          <w:i w:val="false"/>
          <w:caps w:val="false"/>
          <w:smallCaps w:val="false"/>
          <w:sz w:val="20"/>
        </w:rPr>
        <w:t>Article 7</w:t>
      </w:r>
      <w:r>
        <w:rPr>
          <w:rFonts w:ascii="Times New Roman;Times;Serif" w:hAnsi="Times New Roman;Times;Serif"/>
          <w:b w:val="false"/>
          <w:i w:val="false"/>
          <w:caps w:val="false"/>
          <w:smallCaps w:val="false"/>
          <w:sz w:val="20"/>
        </w:rPr>
        <w:t>:</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to the Trustee and its agents and attorneys for amounts due hereunder, including payment of all fees and compensation of, and all expenses and liabilities incurred, and all advances made, by, the Trustee (in each of its capacities under the Indenture, including as Note Agent) and the costs and expenses of collection;</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Holders for unpaid amounts or other property due on the Notes, including the principal of, or the Fundamental Change Repurchase Price or Redemption Price for, or any interest on, or any Conversion Consideration due upon Conversion of, the Notes, ratably, and without preference or priority of any kind, according to such amounts or other property due and payable on all of the Notes; and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to the Company or such other Person as a court of competent jurisdiction directs.</w:t>
      </w:r>
    </w:p>
    <w:p>
      <w:pPr>
        <w:pStyle w:val="TextBody"/>
        <w:bidi w:val="0"/>
        <w:spacing w:before="0" w:after="0"/>
        <w:ind w:left="288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may fix a record date and payment date for any payment or delivery to the Holders pursuant to this </w:t>
      </w:r>
      <w:r>
        <w:rPr>
          <w:rFonts w:ascii="Times New Roman;Times;Serif" w:hAnsi="Times New Roman;Times;Serif"/>
          <w:b/>
          <w:i w:val="false"/>
          <w:caps w:val="false"/>
          <w:smallCaps w:val="false"/>
          <w:sz w:val="20"/>
        </w:rPr>
        <w:t>Section 7.12</w:t>
      </w:r>
      <w:r>
        <w:rPr>
          <w:rFonts w:ascii="Times New Roman;Times;Serif" w:hAnsi="Times New Roman;Times;Serif"/>
          <w:b w:val="false"/>
          <w:i w:val="false"/>
          <w:caps w:val="false"/>
          <w:smallCaps w:val="false"/>
          <w:sz w:val="20"/>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7.13 </w:t>
      </w:r>
      <w:r>
        <w:rPr>
          <w:rFonts w:ascii="Times New Roman;Times;Serif" w:hAnsi="Times New Roman;Times;Serif"/>
          <w:b/>
          <w:i w:val="false"/>
          <w:smallCaps/>
          <w:sz w:val="20"/>
        </w:rPr>
        <w:t>Undertaking for Costs.</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any suit for the enforcement of any right or remedy under the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i w:val="false"/>
          <w:caps w:val="false"/>
          <w:smallCaps w:val="false"/>
          <w:sz w:val="20"/>
        </w:rPr>
        <w:t xml:space="preserve">Section 7.13 </w:t>
      </w:r>
      <w:r>
        <w:rPr>
          <w:rFonts w:ascii="Times New Roman;Times;Serif" w:hAnsi="Times New Roman;Times;Serif"/>
          <w:b w:val="false"/>
          <w:i w:val="false"/>
          <w:caps w:val="false"/>
          <w:smallCaps w:val="false"/>
          <w:sz w:val="20"/>
        </w:rPr>
        <w:t xml:space="preserve">does not apply to any suit by the Trustee, any suit by a Holder pursuant to </w:t>
      </w:r>
      <w:r>
        <w:rPr>
          <w:rFonts w:ascii="Times New Roman;Times;Serif" w:hAnsi="Times New Roman;Times;Serif"/>
          <w:b/>
          <w:i w:val="false"/>
          <w:caps w:val="false"/>
          <w:smallCaps w:val="false"/>
          <w:sz w:val="20"/>
        </w:rPr>
        <w:t xml:space="preserve">Section 7.09 </w:t>
      </w:r>
      <w:r>
        <w:rPr>
          <w:rFonts w:ascii="Times New Roman;Times;Serif" w:hAnsi="Times New Roman;Times;Serif"/>
          <w:b w:val="false"/>
          <w:i w:val="false"/>
          <w:caps w:val="false"/>
          <w:smallCaps w:val="false"/>
          <w:sz w:val="20"/>
        </w:rPr>
        <w:t>or any suit by one or more Holders of more than ten percent (10%) in aggregate principal amount of the Notes then outstanding.</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7.14 </w:t>
      </w:r>
      <w:r>
        <w:rPr>
          <w:rFonts w:ascii="Times New Roman;Times;Serif" w:hAnsi="Times New Roman;Times;Serif"/>
          <w:b/>
          <w:i w:val="false"/>
          <w:smallCaps/>
          <w:sz w:val="20"/>
        </w:rPr>
        <w:t>Notice of Defaults.</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Section 7.14</w:t>
      </w:r>
      <w:r>
        <w:rPr>
          <w:rFonts w:ascii="Times New Roman;Times;Serif" w:hAnsi="Times New Roman;Times;Serif"/>
          <w:b w:val="false"/>
          <w:i w:val="false"/>
          <w:caps w:val="false"/>
          <w:smallCaps w:val="false"/>
          <w:sz w:val="20"/>
        </w:rPr>
        <w:t xml:space="preserve"> will apply to the Notes in lieu of Section 7.14 of the Base Indenture, which will be deemed to be replaced with this </w:t>
      </w:r>
      <w:r>
        <w:rPr>
          <w:rFonts w:ascii="Times New Roman;Times;Serif" w:hAnsi="Times New Roman;Times;Serif"/>
          <w:b/>
          <w:i w:val="false"/>
          <w:caps w:val="false"/>
          <w:smallCaps w:val="false"/>
          <w:sz w:val="20"/>
        </w:rPr>
        <w:t>Section 7.14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Default or Event of Default occurs and is continuing and is actually known to a Responsible Officer of the Trustee, then the Trustee will send Holders a notice of such Default or Event of Default within ninety (90) days after it occurs or, if it is not actually known to a Responsible Officer of the Trustee at such time, promptly (and in any event within ten (10) Business Days) after it becomes actually known to a Responsible Officer of the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in the case of a Default or Event of Default in the payment of the principal of, or interest on, any Note, the Trustee may withhold such notice if and for so long as it in good faith determines that withholding such notice is in the interests of the Holders. For the avoidance of doubt, the Trustee will not be required to deliver such notice at any time after such Default or Event of Default is cured or waived.</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AMENDMENTS, SUPPLEMENTS AND WAIVERS</w:t>
      </w:r>
    </w:p>
    <w:p>
      <w:pPr>
        <w:pStyle w:val="TextBody"/>
        <w:bidi w:val="0"/>
        <w:spacing w:before="0" w:after="0"/>
        <w:ind w:left="2906"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8.01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Section 8.02 </w:t>
      </w:r>
      <w:r>
        <w:rPr>
          <w:rFonts w:ascii="Times New Roman;Times;Serif" w:hAnsi="Times New Roman;Times;Serif"/>
          <w:b w:val="false"/>
          <w:i w:val="false"/>
          <w:caps w:val="false"/>
          <w:smallCaps w:val="false"/>
          <w:sz w:val="20"/>
        </w:rPr>
        <w:t xml:space="preserve">will apply to the Notes in lieu of Section 9.01 and Section 9.02, respectively, of the Base Indenture, which will be deemed to be replaced with </w:t>
      </w:r>
      <w:r>
        <w:rPr>
          <w:rFonts w:ascii="Times New Roman;Times;Serif" w:hAnsi="Times New Roman;Times;Serif"/>
          <w:b/>
          <w:i w:val="false"/>
          <w:caps w:val="false"/>
          <w:smallCaps w:val="false"/>
          <w:sz w:val="20"/>
        </w:rPr>
        <w:t xml:space="preserve">Section 8.01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respectively,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8.01 </w:t>
      </w:r>
      <w:r>
        <w:rPr>
          <w:rFonts w:ascii="Times New Roman;Times;Serif" w:hAnsi="Times New Roman;Times;Serif"/>
          <w:b/>
          <w:i w:val="false"/>
          <w:smallCaps/>
          <w:sz w:val="20"/>
        </w:rPr>
        <w:t>Without the Consent of Holders.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the Company and the Trustee may amend or supplement the Indenture or the Notes without the consent of any Holder to:</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cure any ambiguity or correct any omission, defect or inconsistency in the Indenture or the Notes;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 guarantees with respect to the Company’s obligations under the Indenture or the Notes;</w:t>
      </w:r>
    </w:p>
    <w:p>
      <w:pPr>
        <w:pStyle w:val="TextBody"/>
        <w:bidi w:val="0"/>
        <w:spacing w:before="0" w:after="0"/>
        <w:ind w:left="288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secure the Notes;</w:t>
      </w:r>
    </w:p>
    <w:p>
      <w:pPr>
        <w:pStyle w:val="TextBody"/>
        <w:bidi w:val="0"/>
        <w:spacing w:before="0" w:after="0"/>
        <w:ind w:left="2880" w:right="0" w:hanging="72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add to the Company’s covenants or Events of Default for the benefit of the Holders or surrender any right or power conferred on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provide for the assumption of the Company’s obligations under the Indenture and the Notes pursuant to, and in compliance with,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enter into supplemental indentures pursuant to, and in accordance with, </w:t>
      </w:r>
      <w:r>
        <w:rPr>
          <w:rFonts w:ascii="Times New Roman;Times;Serif" w:hAnsi="Times New Roman;Times;Serif"/>
          <w:b/>
          <w:i w:val="false"/>
          <w:caps w:val="false"/>
          <w:smallCaps w:val="false"/>
          <w:sz w:val="20"/>
        </w:rPr>
        <w:t xml:space="preserve">Section 5.09 </w:t>
      </w:r>
      <w:r>
        <w:rPr>
          <w:rFonts w:ascii="Times New Roman;Times;Serif" w:hAnsi="Times New Roman;Times;Serif"/>
          <w:b w:val="false"/>
          <w:i w:val="false"/>
          <w:caps w:val="false"/>
          <w:smallCaps w:val="false"/>
          <w:sz w:val="20"/>
        </w:rPr>
        <w:t>in connection with a Common Stock Change Event;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irrevocably elect or eliminate any Settlement Method or Specified Dollar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 such election or elimination will affect any Settlement Method theretofore elected (or deemed to be elected) with respect to any Note pursuant to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evidence or provide for the acceptance of the appointment, under the Indenture, of a successor Trustee;</w:t>
      </w:r>
    </w:p>
    <w:p>
      <w:pPr>
        <w:pStyle w:val="TextBody"/>
        <w:bidi w:val="0"/>
        <w:spacing w:before="0" w:after="0"/>
        <w:ind w:left="1441"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conform the provisions of the Indenture and the Notes to the “Description of Notes” section of the Company’s preliminary prospectus supplement, dated June 3, 2026, as supplemented by the related pricing term sheet, dated June 3, 2026;</w:t>
      </w:r>
    </w:p>
    <w:p>
      <w:pPr>
        <w:pStyle w:val="TextBody"/>
        <w:bidi w:val="0"/>
        <w:spacing w:before="0" w:after="0"/>
        <w:ind w:left="1441"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provide for or confirm the issuance of additional Notes pursuant to </w:t>
      </w:r>
      <w:r>
        <w:rPr>
          <w:rFonts w:ascii="Times New Roman;Times;Serif" w:hAnsi="Times New Roman;Times;Serif"/>
          <w:b/>
          <w:i w:val="false"/>
          <w:caps w:val="false"/>
          <w:smallCaps w:val="false"/>
          <w:sz w:val="20"/>
        </w:rPr>
        <w:t>Section 2.02(B)</w:t>
      </w:r>
      <w:r>
        <w:rPr>
          <w:rFonts w:ascii="Times New Roman;Times;Serif" w:hAnsi="Times New Roman;Times;Serif"/>
          <w:b w:val="false"/>
          <w:i w:val="false"/>
          <w:caps w:val="false"/>
          <w:smallCaps w:val="false"/>
          <w:sz w:val="20"/>
        </w:rPr>
        <w:t>;</w:t>
      </w:r>
    </w:p>
    <w:p>
      <w:pPr>
        <w:pStyle w:val="TextBody"/>
        <w:bidi w:val="0"/>
        <w:spacing w:before="0" w:after="0"/>
        <w:ind w:left="2881"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provide for any transfer restrictions that apply to any Notes issued under the Indenture (other than the Initial Notes) that, at the time of their original issuance, constitute “restricted securities” within the meaning of Rule 144 or that are originally issued in reliance upon Regulation S under the Securities Act;</w:t>
      </w:r>
    </w:p>
    <w:p>
      <w:pPr>
        <w:pStyle w:val="TextBody"/>
        <w:bidi w:val="0"/>
        <w:spacing w:before="0" w:after="0"/>
        <w:ind w:left="1441"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comply with any requirement of the SEC in connection with effecting or maintaining the qualification of the Indenture or any supplemental indenture under the Trust Indenture Act, as then in effect; or</w:t>
      </w:r>
    </w:p>
    <w:p>
      <w:pPr>
        <w:pStyle w:val="TextBody"/>
        <w:bidi w:val="0"/>
        <w:spacing w:before="0" w:after="0"/>
        <w:ind w:left="1441"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make any other change to the Indenture or the Notes that does not, individually or in the aggregate with all other such changes, adversely affect the rights of the Holders, as such, in any material respect, as determined by the Company in good faith.</w:t>
      </w:r>
    </w:p>
    <w:p>
      <w:pPr>
        <w:pStyle w:val="TextBody"/>
        <w:bidi w:val="0"/>
        <w:spacing w:before="0" w:after="0"/>
        <w:ind w:left="1441"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written request of any Holder of a Note or owner of a beneficial interest in a Global Note, the Company will provide a copy of the “Description of Notes” section and pricing term sheet referred to in </w:t>
      </w:r>
      <w:r>
        <w:rPr>
          <w:rFonts w:ascii="Times New Roman;Times;Serif" w:hAnsi="Times New Roman;Times;Serif"/>
          <w:b/>
          <w:i w:val="false"/>
          <w:caps w:val="false"/>
          <w:smallCaps w:val="false"/>
          <w:sz w:val="20"/>
        </w:rPr>
        <w:t>Section 8.01(I)</w:t>
      </w:r>
      <w:r>
        <w:rPr>
          <w:rFonts w:ascii="Times New Roman;Times;Serif" w:hAnsi="Times New Roman;Times;Serif"/>
          <w:b w:val="false"/>
          <w:i w:val="false"/>
          <w:caps w:val="false"/>
          <w:smallCaps w:val="false"/>
          <w:sz w:val="20"/>
        </w:rPr>
        <w:t>.</w:t>
      </w:r>
    </w:p>
    <w:p>
      <w:pPr>
        <w:pStyle w:val="TextBody"/>
        <w:bidi w:val="0"/>
        <w:spacing w:before="0" w:after="0"/>
        <w:ind w:left="1441"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8.02 </w:t>
      </w:r>
      <w:r>
        <w:rPr>
          <w:rFonts w:ascii="Times New Roman;Times;Serif" w:hAnsi="Times New Roman;Times;Serif"/>
          <w:b/>
          <w:i w:val="false"/>
          <w:smallCaps/>
          <w:sz w:val="20"/>
        </w:rPr>
        <w:t>With the Consent of Holders.</w:t>
      </w:r>
    </w:p>
    <w:p>
      <w:pPr>
        <w:pStyle w:val="TextBody"/>
        <w:bidi w:val="0"/>
        <w:spacing w:before="0" w:after="0"/>
        <w:ind w:left="1441"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Sections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7.05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7.09</w:t>
      </w:r>
      <w:r>
        <w:rPr>
          <w:rFonts w:ascii="Times New Roman;Times;Serif" w:hAnsi="Times New Roman;Times;Serif"/>
          <w:b w:val="false"/>
          <w:i w:val="false"/>
          <w:caps w:val="false"/>
          <w:smallCaps w:val="false"/>
          <w:sz w:val="20"/>
        </w:rPr>
        <w:t xml:space="preserve"> and the immediately following sentence, the Company and the Trustee may, with the consent of the Holders of a majority in aggregate principal amount of the Notes then outstanding, amend or supplement the Indenture or the Notes or waive compliance with any provision of the Indenture or the Notes. Notwithstanding anything to the contrary in the foregoing sentence, but subject to </w:t>
      </w:r>
      <w:r>
        <w:rPr>
          <w:rFonts w:ascii="Times New Roman;Times;Serif" w:hAnsi="Times New Roman;Times;Serif"/>
          <w:b/>
          <w:i w:val="false"/>
          <w:caps w:val="false"/>
          <w:smallCaps w:val="false"/>
          <w:sz w:val="20"/>
        </w:rPr>
        <w:t>Section 8.01</w:t>
      </w:r>
      <w:r>
        <w:rPr>
          <w:rFonts w:ascii="Times New Roman;Times;Serif" w:hAnsi="Times New Roman;Times;Serif"/>
          <w:b w:val="false"/>
          <w:i w:val="false"/>
          <w:caps w:val="false"/>
          <w:smallCaps w:val="false"/>
          <w:sz w:val="20"/>
        </w:rPr>
        <w:t>, without the consent of each affected Holder, no amendment or supplement to the Indenture or the Notes, or waiver of any provision of the Indenture or the Notes, may: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reduce the principal, or change the stated maturity, of any Note;</w:t>
      </w:r>
    </w:p>
    <w:p>
      <w:pPr>
        <w:pStyle w:val="TextBody"/>
        <w:bidi w:val="0"/>
        <w:spacing w:before="0" w:after="0"/>
        <w:ind w:left="3600" w:right="0" w:hanging="72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Redemption Price or Fundamental Change Repurchase Price for any Note or change the times at which, or the circumstances under which, the Notes may or will be redeemed or repurchased by the Company;</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reduce the rate, or extend the time for the payment, of interest on any Note;</w:t>
      </w:r>
    </w:p>
    <w:p>
      <w:pPr>
        <w:pStyle w:val="TextBody"/>
        <w:bidi w:val="0"/>
        <w:spacing w:before="0" w:after="0"/>
        <w:ind w:left="3600" w:right="0" w:hanging="72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 any change that adversely affects the Conversion rights of any Note;</w:t>
      </w:r>
    </w:p>
    <w:p>
      <w:pPr>
        <w:pStyle w:val="TextBody"/>
        <w:bidi w:val="0"/>
        <w:spacing w:before="0" w:after="0"/>
        <w:ind w:left="3600" w:right="0" w:hanging="72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impair the rights of any Holder set forth in </w:t>
      </w:r>
      <w:r>
        <w:rPr>
          <w:rFonts w:ascii="Times New Roman;Times;Serif" w:hAnsi="Times New Roman;Times;Serif"/>
          <w:b/>
          <w:i w:val="false"/>
          <w:caps w:val="false"/>
          <w:smallCaps w:val="false"/>
          <w:sz w:val="20"/>
        </w:rPr>
        <w:t>Section 7.09</w:t>
      </w:r>
      <w:r>
        <w:rPr>
          <w:rFonts w:ascii="Times New Roman;Times;Serif" w:hAnsi="Times New Roman;Times;Serif"/>
          <w:b w:val="false"/>
          <w:i w:val="false"/>
          <w:caps w:val="false"/>
          <w:smallCaps w:val="false"/>
          <w:sz w:val="20"/>
        </w:rPr>
        <w:t xml:space="preserve"> (as such section is in effect on the Issue Date);</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change the ranking of the Notes;</w:t>
      </w:r>
    </w:p>
    <w:p>
      <w:pPr>
        <w:pStyle w:val="TextBody"/>
        <w:bidi w:val="0"/>
        <w:spacing w:before="0" w:after="0"/>
        <w:ind w:left="3600" w:right="0" w:hanging="72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make any Note payable in money, or at a place of payment, other than that stated in the Indenture or the Note;</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reduce the amount of Notes whose Holders must consent to any amendment, supplement, waiver or other modification; or</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make any direct or indirect change to any amendment, supplement, waiver or modification provision of the Indenture or the Notes that requires the consent of each affected Holder.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pursuant to clauses </w:t>
      </w: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 xml:space="preserve">of this </w:t>
      </w:r>
      <w:r>
        <w:rPr>
          <w:rFonts w:ascii="Times New Roman;Times;Serif" w:hAnsi="Times New Roman;Times;Serif"/>
          <w:b/>
          <w:i w:val="false"/>
          <w:caps w:val="false"/>
          <w:smallCaps w:val="false"/>
          <w:sz w:val="20"/>
        </w:rPr>
        <w:t>Section 8.02(A)</w:t>
      </w:r>
      <w:r>
        <w:rPr>
          <w:rFonts w:ascii="Times New Roman;Times;Serif" w:hAnsi="Times New Roman;Times;Serif"/>
          <w:b w:val="false"/>
          <w:i w:val="false"/>
          <w:caps w:val="false"/>
          <w:smallCaps w:val="false"/>
          <w:sz w:val="20"/>
        </w:rPr>
        <w:t>, no amendment or supplement to the Indenture or the Notes, or waiver of any provision of the Indenture or the Notes, may change the amount or type of consideration due on any Note (whether on an Interest Payment Date, Redemption Date, Fundamental Change Repurchase Date or the Maturity Date or upon Conversion, or otherwise), or the date(s) or time(s) such consideration is payable or deliverable, as applicable, without the consent of each affected Holder.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Holders Need Not Approve the Particular Form of any Amendment</w:t>
      </w:r>
      <w:r>
        <w:rPr>
          <w:rFonts w:ascii="Times New Roman;Times;Serif" w:hAnsi="Times New Roman;Times;Serif"/>
          <w:b w:val="false"/>
          <w:i w:val="false"/>
          <w:caps w:val="false"/>
          <w:smallCaps w:val="false"/>
          <w:sz w:val="20"/>
        </w:rPr>
        <w:t xml:space="preserve">. A consent of any Holder pursuant to this </w:t>
      </w:r>
      <w:r>
        <w:rPr>
          <w:rFonts w:ascii="Times New Roman;Times;Serif" w:hAnsi="Times New Roman;Times;Serif"/>
          <w:b/>
          <w:i w:val="false"/>
          <w:caps w:val="false"/>
          <w:smallCaps w:val="false"/>
          <w:sz w:val="20"/>
        </w:rPr>
        <w:t xml:space="preserve">Section 8.02 </w:t>
      </w:r>
      <w:r>
        <w:rPr>
          <w:rFonts w:ascii="Times New Roman;Times;Serif" w:hAnsi="Times New Roman;Times;Serif"/>
          <w:b w:val="false"/>
          <w:i w:val="false"/>
          <w:caps w:val="false"/>
          <w:smallCaps w:val="false"/>
          <w:sz w:val="20"/>
        </w:rPr>
        <w:t>need approve only the substance, and not necessarily the particular form, of the proposed amendment, supplement or waiver.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8.03 </w:t>
      </w:r>
      <w:r>
        <w:rPr>
          <w:rFonts w:ascii="Times New Roman;Times;Serif" w:hAnsi="Times New Roman;Times;Serif"/>
          <w:b/>
          <w:i w:val="false"/>
          <w:smallCaps/>
          <w:sz w:val="20"/>
        </w:rPr>
        <w:t>Notice of Amendments, Supplements and Waivers.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soon as reasonably practicable after any amendment, supplement or waiver pursuant to </w:t>
      </w:r>
      <w:r>
        <w:rPr>
          <w:rFonts w:ascii="Times New Roman;Times;Serif" w:hAnsi="Times New Roman;Times;Serif"/>
          <w:b/>
          <w:i w:val="false"/>
          <w:caps w:val="false"/>
          <w:smallCaps w:val="false"/>
          <w:sz w:val="20"/>
        </w:rPr>
        <w:t xml:space="preserve">Section 8.01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 xml:space="preserve">8.02 </w:t>
      </w:r>
      <w:r>
        <w:rPr>
          <w:rFonts w:ascii="Times New Roman;Times;Serif" w:hAnsi="Times New Roman;Times;Serif"/>
          <w:b w:val="false"/>
          <w:i w:val="false"/>
          <w:caps w:val="false"/>
          <w:smallCaps w:val="false"/>
          <w:sz w:val="20"/>
        </w:rPr>
        <w:t>becomes effective, the Company will send to the Holders and the Trustee notice that (A) describes the substance of such amendment, supplement or waiver in reasonable detail and (B) states the effective date thereof. The failure to send, or the existence of any defect in, such notice will not impair or affect the validity of such amendment, supplement or waiver.</w:t>
      </w:r>
    </w:p>
    <w:p>
      <w:pPr>
        <w:pStyle w:val="TextBody"/>
        <w:bidi w:val="0"/>
        <w:spacing w:before="0" w:after="0"/>
        <w:ind w:left="1438" w:right="0" w:hanging="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8.04 </w:t>
      </w:r>
      <w:r>
        <w:rPr>
          <w:rFonts w:ascii="Times New Roman;Times;Serif" w:hAnsi="Times New Roman;Times;Serif"/>
          <w:b/>
          <w:i w:val="false"/>
          <w:smallCaps/>
          <w:sz w:val="20"/>
        </w:rPr>
        <w:t xml:space="preserve">Revocation, Effect and Solicitation of Consents; Special Record Dates; </w:t>
      </w:r>
      <w:r>
        <w:rPr>
          <w:rFonts w:ascii="Times New Roman;Times;Serif" w:hAnsi="Times New Roman;Times;Serif"/>
          <w:b/>
          <w:i w:val="false"/>
          <w:smallCaps/>
          <w:sz w:val="22"/>
        </w:rPr>
        <w:t>E</w:t>
      </w:r>
      <w:r>
        <w:rPr>
          <w:rFonts w:ascii="Times New Roman;Times;Serif" w:hAnsi="Times New Roman;Times;Serif"/>
          <w:b/>
          <w:i w:val="false"/>
          <w:smallCaps/>
          <w:sz w:val="18"/>
        </w:rPr>
        <w:t>TC</w:t>
      </w:r>
      <w:r>
        <w:rPr>
          <w:rFonts w:ascii="Times New Roman;Times;Serif" w:hAnsi="Times New Roman;Times;Serif"/>
          <w:b/>
          <w:i w:val="false"/>
          <w:smallCaps/>
          <w:sz w:val="22"/>
        </w:rPr>
        <w:t>.</w:t>
      </w:r>
    </w:p>
    <w:p>
      <w:pPr>
        <w:pStyle w:val="TextBody"/>
        <w:bidi w:val="0"/>
        <w:spacing w:before="0" w:after="0"/>
        <w:ind w:left="291"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Revocation and Effect of Consents</w:t>
      </w:r>
      <w:r>
        <w:rPr>
          <w:rFonts w:ascii="Times New Roman;Times;Serif" w:hAnsi="Times New Roman;Times;Serif"/>
          <w:b w:val="false"/>
          <w:i w:val="false"/>
          <w:caps w:val="false"/>
          <w:smallCaps w:val="false"/>
          <w:sz w:val="20"/>
        </w:rPr>
        <w:t xml:space="preserve">. The consent of a Holder of a Note to an amendment, supplement or waiver will 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Times New Roman;Times;Serif" w:hAnsi="Times New Roman;Times;Serif"/>
          <w:b/>
          <w:i w:val="false"/>
          <w:caps w:val="false"/>
          <w:smallCaps w:val="false"/>
          <w:sz w:val="20"/>
        </w:rPr>
        <w:t>Section 8.04(B)</w:t>
      </w:r>
      <w:r>
        <w:rPr>
          <w:rFonts w:ascii="Times New Roman;Times;Serif" w:hAnsi="Times New Roman;Times;Serif"/>
          <w:b w:val="false"/>
          <w:i w:val="false"/>
          <w:caps w:val="false"/>
          <w:smallCaps w:val="false"/>
          <w:sz w:val="20"/>
        </w:rPr>
        <w:t>) any such consent with respect to such Note by delivering notice of revocation to the Trustee before the time such amendment, supplement or waiver becomes effective.</w:t>
      </w:r>
    </w:p>
    <w:p>
      <w:pPr>
        <w:pStyle w:val="TextBody"/>
        <w:bidi w:val="0"/>
        <w:spacing w:before="0" w:after="0"/>
        <w:ind w:left="1438" w:right="0" w:firstLine="72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Special Record Dates</w:t>
      </w:r>
      <w:r>
        <w:rPr>
          <w:rFonts w:ascii="Times New Roman;Times;Serif" w:hAnsi="Times New Roman;Times;Serif"/>
          <w:b w:val="false"/>
          <w:i w:val="false"/>
          <w:caps w:val="false"/>
          <w:smallCaps w:val="false"/>
          <w:sz w:val="20"/>
        </w:rPr>
        <w:t xml:space="preserve">. The Company may, but is not required to, fix a record date for the purpose of determining the Holders entitled to consent or take any other action in connection with any amendment, supplement or waiver pursuant to this </w:t>
      </w:r>
      <w:r>
        <w:rPr>
          <w:rFonts w:ascii="Times New Roman;Times;Serif" w:hAnsi="Times New Roman;Times;Serif"/>
          <w:b/>
          <w:i w:val="false"/>
          <w:caps w:val="false"/>
          <w:smallCaps w:val="false"/>
          <w:sz w:val="20"/>
        </w:rPr>
        <w:t>Article 8</w:t>
      </w:r>
      <w:r>
        <w:rPr>
          <w:rFonts w:ascii="Times New Roman;Times;Serif" w:hAnsi="Times New Roman;Times;Serif"/>
          <w:b w:val="false"/>
          <w:i w:val="false"/>
          <w:caps w:val="false"/>
          <w:smallCaps w:val="false"/>
          <w:sz w:val="20"/>
        </w:rPr>
        <w:t xml:space="preserve">. If a record date is fixed, then, notwithstanding anything to the contrary in </w:t>
      </w:r>
      <w:r>
        <w:rPr>
          <w:rFonts w:ascii="Times New Roman;Times;Serif" w:hAnsi="Times New Roman;Times;Serif"/>
          <w:b/>
          <w:i w:val="false"/>
          <w:caps w:val="false"/>
          <w:smallCaps w:val="false"/>
          <w:sz w:val="20"/>
        </w:rPr>
        <w:t>Section 8.04(A)</w:t>
      </w:r>
      <w:r>
        <w:rPr>
          <w:rFonts w:ascii="Times New Roman;Times;Serif" w:hAnsi="Times New Roman;Times;Serif"/>
          <w:b w:val="false"/>
          <w:i w:val="false"/>
          <w:caps w:val="false"/>
          <w:smallCaps w:val="false"/>
          <w:sz w:val="20"/>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consent will be valid or effective for more than one hundred and twenty (120) calendar days after such record date.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Solicitation of Consents</w:t>
      </w:r>
      <w:r>
        <w:rPr>
          <w:rFonts w:ascii="Times New Roman;Times;Serif" w:hAnsi="Times New Roman;Times;Serif"/>
          <w:b w:val="false"/>
          <w:i w:val="false"/>
          <w:caps w:val="false"/>
          <w:smallCaps w:val="false"/>
          <w:sz w:val="20"/>
        </w:rPr>
        <w:t>. For the avoidance of doubt, each reference in the Indenture or the Notes to the consent of a Holder will be deemed to include any such consent obtained in connection with a repurchase of, or tender or exchange offer for, any Notes.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Effectiveness and Binding Effect</w:t>
      </w:r>
      <w:r>
        <w:rPr>
          <w:rFonts w:ascii="Times New Roman;Times;Serif" w:hAnsi="Times New Roman;Times;Serif"/>
          <w:b w:val="false"/>
          <w:i w:val="false"/>
          <w:caps w:val="false"/>
          <w:smallCaps w:val="false"/>
          <w:sz w:val="20"/>
        </w:rPr>
        <w:t xml:space="preserve">. Each amendment, supplement or waiver pursuant to this </w:t>
      </w:r>
      <w:r>
        <w:rPr>
          <w:rFonts w:ascii="Times New Roman;Times;Serif" w:hAnsi="Times New Roman;Times;Serif"/>
          <w:b/>
          <w:i w:val="false"/>
          <w:caps w:val="false"/>
          <w:smallCaps w:val="false"/>
          <w:sz w:val="20"/>
        </w:rPr>
        <w:t>Article 8</w:t>
      </w:r>
      <w:r>
        <w:rPr>
          <w:rFonts w:ascii="Times New Roman;Times;Serif" w:hAnsi="Times New Roman;Times;Serif"/>
          <w:b w:val="false"/>
          <w:i w:val="false"/>
          <w:caps w:val="false"/>
          <w:smallCaps w:val="false"/>
          <w:sz w:val="20"/>
        </w:rPr>
        <w:t xml:space="preserve"> will become effective in accordance with its terms and, when it becomes effective with respect to any Note (or any portion thereof), will thereafter bind every Holder of such Note (or such portion).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8.05 </w:t>
      </w:r>
      <w:r>
        <w:rPr>
          <w:rFonts w:ascii="Times New Roman;Times;Serif" w:hAnsi="Times New Roman;Times;Serif"/>
          <w:b/>
          <w:i w:val="false"/>
          <w:smallCaps/>
          <w:sz w:val="20"/>
        </w:rPr>
        <w:t>Notations and Exchanges</w:t>
      </w:r>
      <w:r>
        <w:rPr>
          <w:rFonts w:ascii="Times New Roman;Times;Serif" w:hAnsi="Times New Roman;Times;Serif"/>
          <w:b/>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Section 2.04 of the Base Indenture, a new Note that reflects the changed terms. The failure to make any appropriate notation or issue a new Note pursuant to this </w:t>
      </w:r>
      <w:r>
        <w:rPr>
          <w:rFonts w:ascii="Times New Roman;Times;Serif" w:hAnsi="Times New Roman;Times;Serif"/>
          <w:b/>
          <w:i w:val="false"/>
          <w:caps w:val="false"/>
          <w:smallCaps w:val="false"/>
          <w:sz w:val="20"/>
        </w:rPr>
        <w:t xml:space="preserve">Section 8.05 </w:t>
      </w:r>
      <w:r>
        <w:rPr>
          <w:rFonts w:ascii="Times New Roman;Times;Serif" w:hAnsi="Times New Roman;Times;Serif"/>
          <w:b w:val="false"/>
          <w:i w:val="false"/>
          <w:caps w:val="false"/>
          <w:smallCaps w:val="false"/>
          <w:sz w:val="20"/>
        </w:rPr>
        <w:t>will not impair or affect the validity of such amendment, supplement or waiver.</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8.06 </w:t>
      </w:r>
      <w:r>
        <w:rPr>
          <w:rFonts w:ascii="Times New Roman;Times;Serif" w:hAnsi="Times New Roman;Times;Serif"/>
          <w:b/>
          <w:i w:val="false"/>
          <w:smallCaps/>
          <w:sz w:val="20"/>
        </w:rPr>
        <w:t>Trustee to Execute Supplemental Indentures.</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will execute and deliver any amendment or supplemental indenture authorized pursuant to this </w:t>
      </w:r>
      <w:r>
        <w:rPr>
          <w:rFonts w:ascii="Times New Roman;Times;Serif" w:hAnsi="Times New Roman;Times;Serif"/>
          <w:b/>
          <w:i w:val="false"/>
          <w:caps w:val="false"/>
          <w:smallCaps w:val="false"/>
          <w:sz w:val="20"/>
        </w:rPr>
        <w:t>Article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Trustee need not (but may, in its sole and absolute discretion) execute or deliver any such amendment or supplemental indenture that adversely affects the Trustee’s rights, duties, liabilities or immunities. In executing any amendment or supplemental indenture, the Trustee will be entitled to receive, and will be fully protected in relying on, an Officer’s Certificate and an Opinion of Counsel stating that (A) the execution and delivery of such amendment or supplemental indenture is authorized or permitted by the Indenture; and (B) in the case of the Opinion of Counsel, such amendment or supplemental indenture is valid, binding and enforceable against the Company in accordance with its terms.</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SATISFACTION AND DISCHARGE</w:t>
      </w:r>
    </w:p>
    <w:p>
      <w:pPr>
        <w:pStyle w:val="TextBody"/>
        <w:bidi w:val="0"/>
        <w:spacing w:before="0" w:after="0"/>
        <w:ind w:left="3616"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Article 9</w:t>
      </w:r>
      <w:r>
        <w:rPr>
          <w:rFonts w:ascii="Times New Roman;Times;Serif" w:hAnsi="Times New Roman;Times;Serif"/>
          <w:b w:val="false"/>
          <w:i w:val="false"/>
          <w:caps w:val="false"/>
          <w:smallCaps w:val="false"/>
          <w:sz w:val="20"/>
        </w:rPr>
        <w:t xml:space="preserve"> will apply to the Notes in lieu of Article 11 of the Base Indenture, which will be deemed to be replaced with this </w:t>
      </w:r>
      <w:r>
        <w:rPr>
          <w:rFonts w:ascii="Times New Roman;Times;Serif" w:hAnsi="Times New Roman;Times;Serif"/>
          <w:b/>
          <w:i w:val="false"/>
          <w:caps w:val="false"/>
          <w:smallCaps w:val="false"/>
          <w:sz w:val="20"/>
        </w:rPr>
        <w:t>Article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9.01 </w:t>
      </w:r>
      <w:r>
        <w:rPr>
          <w:rFonts w:ascii="Times New Roman;Times;Serif" w:hAnsi="Times New Roman;Times;Serif"/>
          <w:b/>
          <w:i w:val="false"/>
          <w:smallCaps/>
          <w:sz w:val="20"/>
        </w:rPr>
        <w:t>Termination of Company’s Obligations.</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with respect to the Notes under the Indenture will be discharged, and the Indenture will cease to be of further effect as to all Notes issued under the Indenture, when:</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Notes then outstanding (other than Notes replaced pursuant to Section 2.07 of the Base Indenture) have (i) been delivered to the Trustee for cancellation; or (ii) become due and payable (whether on a Redemption Date, a Fundamental Change Repurchase Date, the Maturity Date, upon Conversion or otherwise) for an amount of cash or Conversion Consideration, as applicable, that has been fixed;</w:t>
      </w:r>
    </w:p>
    <w:p>
      <w:pPr>
        <w:pStyle w:val="TextBody"/>
        <w:bidi w:val="0"/>
        <w:spacing w:before="0" w:after="0"/>
        <w:ind w:left="1440" w:right="0" w:firstLine="72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Section 2.07 of the Base Indenture);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paid all other amounts payable by it under the Indenture; and</w:t>
      </w:r>
    </w:p>
    <w:p>
      <w:pPr>
        <w:pStyle w:val="TextBody"/>
        <w:bidi w:val="0"/>
        <w:spacing w:before="0" w:after="0"/>
        <w:ind w:left="288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delivered to the Trustee an Officer’s Certificate and an Opinion of Counsel, each stating that the conditions precedent to the discharge of the Indenture have been satisfied;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Article 7 of the Base Indenture and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 xml:space="preserve"> will survive such discharge and, until no Notes remain outstanding, Section 2.08 of the Base Indenture and the obligations of the Trustee, the Paying Agent and the Conversion Agent with respect to money or other property deposited with them will survive such discharge.</w:t>
      </w:r>
    </w:p>
    <w:p>
      <w:pPr>
        <w:pStyle w:val="TextBody"/>
        <w:bidi w:val="0"/>
        <w:spacing w:before="0" w:after="0"/>
        <w:ind w:left="1440" w:right="0" w:hanging="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request, the Trustee will acknowledge the satisfaction and discharge of the Indenture.</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9.02 </w:t>
      </w:r>
      <w:r>
        <w:rPr>
          <w:rFonts w:ascii="Times New Roman;Times;Serif" w:hAnsi="Times New Roman;Times;Serif"/>
          <w:b/>
          <w:i w:val="false"/>
          <w:smallCaps/>
          <w:sz w:val="20"/>
        </w:rPr>
        <w:t>Repayment to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9.03 </w:t>
      </w:r>
      <w:r>
        <w:rPr>
          <w:rFonts w:ascii="Times New Roman;Times;Serif" w:hAnsi="Times New Roman;Times;Serif"/>
          <w:b/>
          <w:i w:val="false"/>
          <w:smallCaps/>
          <w:sz w:val="20"/>
        </w:rPr>
        <w:t>Reinstatement.</w:t>
      </w:r>
    </w:p>
    <w:p>
      <w:pPr>
        <w:pStyle w:val="TextBody"/>
        <w:bidi w:val="0"/>
        <w:spacing w:before="0" w:after="0"/>
        <w:ind w:left="1438"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the Paying Agent or the Conversion Agent is unable to apply any cash or other property deposited with it pursuant to </w:t>
      </w:r>
      <w:r>
        <w:rPr>
          <w:rFonts w:ascii="Times New Roman;Times;Serif" w:hAnsi="Times New Roman;Times;Serif"/>
          <w:b/>
          <w:i w:val="false"/>
          <w:caps w:val="false"/>
          <w:smallCaps w:val="false"/>
          <w:sz w:val="20"/>
        </w:rPr>
        <w:t xml:space="preserve">Section 9.01 </w:t>
      </w:r>
      <w:r>
        <w:rPr>
          <w:rFonts w:ascii="Times New Roman;Times;Serif" w:hAnsi="Times New Roman;Times;Serif"/>
          <w:b w:val="false"/>
          <w:i w:val="false"/>
          <w:caps w:val="false"/>
          <w:smallCaps w:val="false"/>
          <w:sz w:val="20"/>
        </w:rPr>
        <w:t xml:space="preserve">because of any legal proceeding or any order or judgment of any court or other governmental authority that enjoins, restrains or otherwise prohibits such application, then the discharge of the Indenture pursuant to </w:t>
      </w:r>
      <w:r>
        <w:rPr>
          <w:rFonts w:ascii="Times New Roman;Times;Serif" w:hAnsi="Times New Roman;Times;Serif"/>
          <w:b/>
          <w:i w:val="false"/>
          <w:caps w:val="false"/>
          <w:smallCaps w:val="false"/>
          <w:sz w:val="20"/>
        </w:rPr>
        <w:t xml:space="preserve">Section 9.01 </w:t>
      </w:r>
      <w:r>
        <w:rPr>
          <w:rFonts w:ascii="Times New Roman;Times;Serif" w:hAnsi="Times New Roman;Times;Serif"/>
          <w:b w:val="false"/>
          <w:i w:val="false"/>
          <w:caps w:val="false"/>
          <w:smallCaps w:val="false"/>
          <w:sz w:val="20"/>
        </w:rPr>
        <w:t xml:space="preserve">will be rescinded;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pStyle w:val="TextBody"/>
        <w:bidi w:val="0"/>
        <w:spacing w:before="0" w:after="0"/>
        <w:ind w:left="1438"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MISCELLANEOUS</w:t>
      </w:r>
    </w:p>
    <w:p>
      <w:pPr>
        <w:pStyle w:val="TextBody"/>
        <w:bidi w:val="0"/>
        <w:spacing w:before="0" w:after="0"/>
        <w:ind w:left="443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10.01 </w:t>
      </w:r>
      <w:r>
        <w:rPr>
          <w:rFonts w:ascii="Times New Roman;Times;Serif" w:hAnsi="Times New Roman;Times;Serif"/>
          <w:b/>
          <w:i w:val="false"/>
          <w:smallCaps/>
          <w:sz w:val="20"/>
        </w:rPr>
        <w:t>Notices.</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2159"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16305 36th Avenue North, Suite 100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 55446</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Brian F. Sullivan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bsullivan@celcuity.com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Faegre Drinker Biddle &amp; Reath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Wells Fargo Center 90 South Seventh Street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 55402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Jonathan R. Zimmerman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jon.zimmerman@faegredrinker.com</w:t>
      </w:r>
    </w:p>
    <w:p>
      <w:pPr>
        <w:pStyle w:val="TextBody"/>
        <w:bidi w:val="0"/>
        <w:spacing w:before="0" w:after="0"/>
        <w:ind w:left="2159"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2159"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Side Flats St Paul</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Livingston Ave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Saint Paul, MN 55107 | EP-MN-S3MC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Q. DePompolo (Celcuity Inc. Administrator)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quinn.depompolo@usbank.com</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Shipman &amp; Goodwin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Constitution Plaza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Hartford, CT 06103-1919</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Nathan Plotkin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nplotkin@goodwin.com</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preceding paragraph, notices to the Trustee or any Note Agent must be in writing and will be deemed to have been given upon actual receipt by the Trustee or such Note Agent, as applicable.</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notice to the other, may designate additional or different addresses (including facsimile numbers and electronic addresses) for subsequent notices or communications.</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will be deemed original signatures for all purposes. Any person that uses electronic signatures or electronic methods to send communications to the Trustee assumes all risks arising out of such use, including the risk of the Trustee acting on an unauthorized communication and the risk of interception or misuse by third parties. Notwithstanding anything to the contrary in this paragraph, the Trustee may, in any instance and in its sole discretion, require that an original document bearing a manual signature be delivered to the Trustee in lieu of, or in addition to, any such electronic communication.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communications (other than those sent to Holders) will be deemed to have been duly given: (A) at the time delivered by hand, if personally delivered; (B) five (5) Business Days after being deposited in the mail, postage prepaid, if mailed; (C) when receipt is acknowledged, if transmitted by facsimile, electronic transmission or other similar means of unsecured electronic communication; and (D) the next Business Day after timely delivery to the courier, if sent by overnight air courier guaranteeing next day delivery.</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notices or communications required to be made to a Holder pursuant to the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notice or communication to a Holder of a Global Note will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or sent in the manner provided above within the time prescribed, it will be deemed to have been duly given, whether or not the addressee receives it.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Indenture or the Notes, (A) whenever any provision of the Indenture requires a party to send notice to another party, no such notice need be sent if the sending party and the recipient are the same Person acting in different capacities (and, for purposes of the interpretation of the Indenture, such notice will be deemed to have been duly sent at the time otherwise required by the Indenture); and (B) whenever any provision of the Indenture requires a party to send notice to more than one receiving party, and each receiving party is the same Person acting in different capacities, then only one such notice need be sent to such Person.</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10.02 </w:t>
      </w:r>
      <w:r>
        <w:rPr>
          <w:rFonts w:ascii="Times New Roman;Times;Serif" w:hAnsi="Times New Roman;Times;Serif"/>
          <w:b/>
          <w:i w:val="false"/>
          <w:smallCaps/>
          <w:sz w:val="20"/>
        </w:rPr>
        <w:t>Rules by the Trustee, the Registrar, the Paying Agent and the Conversion Agent.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at a meeting of Holders. Each of the Registrar, the Paying Agent and the Conversion Agent may make reasonable rules and set reasonable requirements for its functions.</w:t>
      </w:r>
    </w:p>
    <w:p>
      <w:pPr>
        <w:pStyle w:val="TextBody"/>
        <w:bidi w:val="0"/>
        <w:spacing w:before="0" w:after="0"/>
        <w:ind w:left="1438"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10.03 </w:t>
      </w:r>
      <w:r>
        <w:rPr>
          <w:rFonts w:ascii="Times New Roman;Times;Serif" w:hAnsi="Times New Roman;Times;Serif"/>
          <w:b/>
          <w:i w:val="false"/>
          <w:smallCaps/>
          <w:sz w:val="20"/>
        </w:rPr>
        <w:t>No Personal Liability of Directors, Officers, Employees and Stockholders.</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past, present or future director, 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10.04 </w:t>
      </w:r>
      <w:r>
        <w:rPr>
          <w:rFonts w:ascii="Times New Roman;Times;Serif" w:hAnsi="Times New Roman;Times;Serif"/>
          <w:b/>
          <w:i w:val="false"/>
          <w:smallCaps/>
          <w:sz w:val="20"/>
        </w:rPr>
        <w:t>Governing law; waiver of jury trial.</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Section 10.04</w:t>
      </w:r>
      <w:r>
        <w:rPr>
          <w:rFonts w:ascii="Times New Roman;Times;Serif" w:hAnsi="Times New Roman;Times;Serif"/>
          <w:b w:val="false"/>
          <w:i w:val="false"/>
          <w:caps w:val="false"/>
          <w:smallCaps w:val="false"/>
          <w:sz w:val="20"/>
        </w:rPr>
        <w:t xml:space="preserve"> will, with respect to the Notes, supersede Section 13.05 of the Base Indenture in its entirety.</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NOTES, AND ANY CLAIM, CONTROVERSY OR DISPUTE ARISING UNDER OR RELATED TO THE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THE INDENTURE, THE NOTES OR THE TRANSACTIONS CONTEMPLATED BY THE INDENTURE OR THE NOTES.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10.05 </w:t>
      </w:r>
      <w:r>
        <w:rPr>
          <w:rFonts w:ascii="Times New Roman;Times;Serif" w:hAnsi="Times New Roman;Times;Serif"/>
          <w:b/>
          <w:i w:val="false"/>
          <w:smallCaps/>
          <w:sz w:val="20"/>
        </w:rPr>
        <w:t>Submission to Jurisdiction.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legal suit, action or proceeding arising out of or based upon the Indenture or the transactions contemplated by the Indenture may be instituted in the federal courts of the United States of America located in the City of New York or the courts of the State of New York, in each case located in the City of New York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10.06 </w:t>
      </w:r>
      <w:r>
        <w:rPr>
          <w:rFonts w:ascii="Times New Roman;Times;Serif" w:hAnsi="Times New Roman;Times;Serif"/>
          <w:b/>
          <w:i w:val="false"/>
          <w:smallCaps/>
          <w:sz w:val="20"/>
        </w:rPr>
        <w:t>No Adverse Interpretation of Other Agreements.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Indenture nor the Notes may be used to interpret any other indenture, note, loan or debt agreement of the Company or its Subsidiaries or of any other Person, and no such indenture, note, loan or debt agreement may be used to interpret the Indenture or the Notes.</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10.07 </w:t>
      </w:r>
      <w:r>
        <w:rPr>
          <w:rFonts w:ascii="Times New Roman;Times;Serif" w:hAnsi="Times New Roman;Times;Serif"/>
          <w:b/>
          <w:i w:val="false"/>
          <w:smallCaps/>
          <w:sz w:val="20"/>
        </w:rPr>
        <w:t>Successors.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the Indenture and the Notes will bind its successors. All agreements of the Trustee in the Indenture will bind its successors.</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organization or entity into which the Trustee may be merged or converted or with which it may be consolidated, or any organization or entity resulting from any merger, conversion or consolidation to which the Trustee is a party, or any organization or entity succeeding to all or substantially all of the corporate trust business of the Trustee, will be the successor of the Trustee under the Indenture, without the need for the execution or filing of any paper or any further act on the part of any of the parties hereto, provided that such organization or entity is otherwise qualified and eligible under Section 7.09 of the Base Indenture and Section 310 of the Trust Indenture Act.</w:t>
      </w:r>
    </w:p>
    <w:p>
      <w:pPr>
        <w:pStyle w:val="TextBody"/>
        <w:bidi w:val="0"/>
        <w:spacing w:before="0" w:after="0"/>
        <w:ind w:left="144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10.08 </w:t>
      </w:r>
      <w:r>
        <w:rPr>
          <w:rFonts w:ascii="Times New Roman;Times;Serif" w:hAnsi="Times New Roman;Times;Serif"/>
          <w:b/>
          <w:i w:val="false"/>
          <w:smallCaps/>
          <w:sz w:val="20"/>
        </w:rPr>
        <w:t>Force Majeure.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each Note Agent will not incur any liability for not performing any act or fulfilling any duty, obligation or responsibility under the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10.09 </w:t>
      </w:r>
      <w:r>
        <w:rPr>
          <w:rFonts w:ascii="Times New Roman;Times;Serif" w:hAnsi="Times New Roman;Times;Serif"/>
          <w:b/>
          <w:i w:val="false"/>
          <w:smallCaps/>
          <w:sz w:val="20"/>
        </w:rPr>
        <w:t>U.S.A. Patriot Act.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10.10 </w:t>
      </w:r>
      <w:r>
        <w:rPr>
          <w:rFonts w:ascii="Times New Roman;Times;Serif" w:hAnsi="Times New Roman;Times;Serif"/>
          <w:b/>
          <w:i w:val="false"/>
          <w:smallCaps/>
          <w:sz w:val="20"/>
        </w:rPr>
        <w:t>Calculations.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Indenture, the Company will be responsible for making all calculations called for under the Indenture or the Notes, including determinations of the Stock Price, Last Reported Sale Price, the Daily Conversion Value, the Daily Cash Amount, the Daily Share Amount, the Daily VWAP, the Trading Price, accrued interest on the Notes, including any Special Interest, the Redemption Price, the Fundamental Change Repurchase Price and the Conversion Rate (including adjustments to the Conversion Rate).</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 For the avoidance of doubt, the Trustee will not be obligated to make or confirm any calculations or other amounts called for under the Indenture or the Notes.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10.11 </w:t>
      </w:r>
      <w:r>
        <w:rPr>
          <w:rFonts w:ascii="Times New Roman;Times;Serif" w:hAnsi="Times New Roman;Times;Serif"/>
          <w:b/>
          <w:i w:val="false"/>
          <w:smallCaps/>
          <w:sz w:val="20"/>
        </w:rPr>
        <w:t>Severability.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the Indenture or the Notes is invalid, illegal or unenforceable, then the validity, legality and enforceability of the remaining provisions of the Indenture or the Notes will not in any way be affected or impaired thereby.</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10.12 </w:t>
      </w:r>
      <w:r>
        <w:rPr>
          <w:rFonts w:ascii="Times New Roman;Times;Serif" w:hAnsi="Times New Roman;Times;Serif"/>
          <w:b/>
          <w:i w:val="false"/>
          <w:smallCaps/>
          <w:sz w:val="20"/>
        </w:rPr>
        <w:t>Counterparts.</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sign any number of copies of this Supplemental Indenture. Each signed copy will be an original, and all of them together represent the same agreement. Delivery of an executed counterpart of this Supplemental Indenture by facsimile, electronically in portable document format or in any other format will be effective as delivery of a manually or electronically executed counterpart.</w:t>
      </w:r>
    </w:p>
    <w:p>
      <w:pPr>
        <w:pStyle w:val="TextBody"/>
        <w:bidi w:val="0"/>
        <w:spacing w:before="0" w:after="0"/>
        <w:ind w:left="1440" w:right="0" w:firstLine="719"/>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10.13 </w:t>
      </w:r>
      <w:r>
        <w:rPr>
          <w:rFonts w:ascii="Times New Roman;Times;Serif" w:hAnsi="Times New Roman;Times;Serif"/>
          <w:b/>
          <w:i w:val="false"/>
          <w:smallCaps/>
          <w:sz w:val="20"/>
        </w:rPr>
        <w:t>Table of Contents, Headings, Etc.</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the headings of the Articles and Sections of this Supplemental Indenture have been inserted for convenience of reference only, are not to be considered a part of the Indenture and will in no way modify or restrict any of the terms or provisions of the Indenture.</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10.14 </w:t>
      </w:r>
      <w:r>
        <w:rPr>
          <w:rFonts w:ascii="Times New Roman;Times;Serif" w:hAnsi="Times New Roman;Times;Serif"/>
          <w:b/>
          <w:i w:val="false"/>
          <w:smallCaps/>
          <w:sz w:val="20"/>
        </w:rPr>
        <w:t>Withholding Taxes.</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a Note agrees, and each beneficial owner of an interest in a Note, by its acquisition of such interest, is deemed to agree, that if the Company or other applicable withholding agent pays withholding taxes or backup withholding on behalf of such Holder or beneficial owner as a result of an adjustment or the non-occurrence of an adjustment to the Conversion Rate, then the Company or such withholding agent, as applicable, may, at its option, set off such payments against payments of cash or the delivery of other Conversion Consideration on such Note, any payments on the Common Stock or sales proceeds received by, or other funds or assets of, such Holder or the beneficial owner of such Note.</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10.15 </w:t>
      </w:r>
      <w:r>
        <w:rPr>
          <w:rFonts w:ascii="Times New Roman;Times;Serif" w:hAnsi="Times New Roman;Times;Serif"/>
          <w:b/>
          <w:i w:val="false"/>
          <w:smallCaps/>
          <w:sz w:val="20"/>
        </w:rPr>
        <w:t>Trust Indenture Act Controls.</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the Indenture limits, qualifies or conflicts with another provision that is required or deemed to be included in the Indenture by the Trust Indenture Act, such required or deemed provision of the Trust Indenture Act will control.</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The Remainder of This Page Intentionally Left Blank; Signature Page Follows</w:t>
      </w:r>
      <w:r>
        <w:rPr>
          <w:rFonts w:ascii="Times New Roman;Times;Serif" w:hAnsi="Times New Roman;Times;Serif"/>
          <w:b w:val="false"/>
          <w:i w:val="false"/>
          <w:caps w:val="false"/>
          <w:smallCaps w:val="false"/>
          <w:sz w:val="20"/>
        </w:rPr>
        <w:t>]</w:t>
      </w:r>
    </w:p>
    <w:p>
      <w:pPr>
        <w:pStyle w:val="TextBody"/>
        <w:bidi w:val="0"/>
        <w:spacing w:before="0" w:after="0"/>
        <w:ind w:left="2459"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to this Supplemental Indenture have caused this Supplemental Indenture to be duly executed as of the date first written above.</w:t>
      </w:r>
    </w:p>
    <w:p>
      <w:pPr>
        <w:pStyle w:val="TextBody"/>
        <w:bidi w:val="0"/>
        <w:spacing w:before="0" w:after="0"/>
        <w:ind w:left="1440" w:right="0" w:hanging="0"/>
        <w:jc w:val="left"/>
        <w:rPr>
          <w:caps w:val="false"/>
          <w:smallCaps w:val="false"/>
        </w:rPr>
      </w:pPr>
      <w:r>
        <w:rPr>
          <w:caps w:val="false"/>
          <w:smallCaps w:val="false"/>
        </w:rPr>
        <w:t> </w:t>
      </w:r>
    </w:p>
    <w:tbl>
      <w:tblPr>
        <w:tblW w:w="6559" w:type="dxa"/>
        <w:jc w:val="left"/>
        <w:tblInd w:w="0" w:type="dxa"/>
        <w:tblLayout w:type="fixed"/>
        <w:tblCellMar>
          <w:top w:w="0" w:type="dxa"/>
          <w:left w:w="0" w:type="dxa"/>
          <w:bottom w:w="0" w:type="dxa"/>
          <w:right w:w="0" w:type="dxa"/>
        </w:tblCellMar>
      </w:tblPr>
      <w:tblGrid>
        <w:gridCol w:w="1320"/>
        <w:gridCol w:w="5164"/>
        <w:gridCol w:w="75"/>
      </w:tblGrid>
      <w:tr>
        <w:trPr/>
        <w:tc>
          <w:tcPr>
            <w:tcW w:w="648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CELCUITY, INC.</w:t>
            </w:r>
          </w:p>
        </w:tc>
        <w:tc>
          <w:tcPr>
            <w:tcW w:w="75" w:type="dxa"/>
            <w:tcBorders/>
            <w:vAlign w:val="center"/>
          </w:tcPr>
          <w:p>
            <w:pPr>
              <w:pStyle w:val="TableContents"/>
              <w:bidi w:val="0"/>
              <w:spacing w:before="0" w:after="283"/>
              <w:jc w:val="left"/>
              <w:rPr/>
            </w:pPr>
            <w:r>
              <w:rPr/>
              <w:t> </w:t>
            </w:r>
          </w:p>
        </w:tc>
      </w:tr>
      <w:tr>
        <w:trPr/>
        <w:tc>
          <w:tcPr>
            <w:tcW w:w="1320" w:type="dxa"/>
            <w:tcBorders/>
            <w:vAlign w:val="center"/>
          </w:tcPr>
          <w:p>
            <w:pPr>
              <w:pStyle w:val="TableContents"/>
              <w:bidi w:val="0"/>
              <w:spacing w:before="0" w:after="283"/>
              <w:jc w:val="left"/>
              <w:rPr/>
            </w:pPr>
            <w:r>
              <w:rPr/>
              <w:t> </w:t>
            </w:r>
          </w:p>
        </w:tc>
        <w:tc>
          <w:tcPr>
            <w:tcW w:w="516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i/>
              </w:rPr>
              <w:t>Vicky Hahne</w:t>
            </w:r>
          </w:p>
        </w:tc>
        <w:tc>
          <w:tcPr>
            <w:tcW w:w="75" w:type="dxa"/>
            <w:tcBorders/>
            <w:vAlign w:val="center"/>
          </w:tcPr>
          <w:p>
            <w:pPr>
              <w:pStyle w:val="TableContents"/>
              <w:bidi w:val="0"/>
              <w:spacing w:before="0" w:after="283"/>
              <w:jc w:val="left"/>
              <w:rPr/>
            </w:pPr>
            <w:r>
              <w:rPr/>
              <w:t> </w:t>
            </w:r>
          </w:p>
        </w:tc>
      </w:tr>
      <w:tr>
        <w:trPr/>
        <w:tc>
          <w:tcPr>
            <w:tcW w:w="1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51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Vicky Hahne</w:t>
            </w:r>
          </w:p>
        </w:tc>
        <w:tc>
          <w:tcPr>
            <w:tcW w:w="75" w:type="dxa"/>
            <w:tcBorders/>
            <w:vAlign w:val="center"/>
          </w:tcPr>
          <w:p>
            <w:pPr>
              <w:pStyle w:val="TableContents"/>
              <w:bidi w:val="0"/>
              <w:spacing w:before="0" w:after="283"/>
              <w:jc w:val="left"/>
              <w:rPr/>
            </w:pPr>
            <w:r>
              <w:rPr/>
              <w:t> </w:t>
            </w:r>
          </w:p>
        </w:tc>
      </w:tr>
      <w:tr>
        <w:trPr/>
        <w:tc>
          <w:tcPr>
            <w:tcW w:w="1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51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c>
          <w:tcPr>
            <w:tcW w:w="75" w:type="dxa"/>
            <w:tcBorders/>
            <w:vAlign w:val="center"/>
          </w:tcPr>
          <w:p>
            <w:pPr>
              <w:pStyle w:val="TableContents"/>
              <w:bidi w:val="0"/>
              <w:spacing w:before="0" w:after="283"/>
              <w:jc w:val="left"/>
              <w:rPr/>
            </w:pPr>
            <w:r>
              <w:rPr/>
              <w:t> </w:t>
            </w:r>
          </w:p>
        </w:tc>
      </w:tr>
      <w:tr>
        <w:trPr/>
        <w:tc>
          <w:tcPr>
            <w:tcW w:w="1320" w:type="dxa"/>
            <w:tcBorders/>
            <w:vAlign w:val="center"/>
          </w:tcPr>
          <w:p>
            <w:pPr>
              <w:pStyle w:val="TableContents"/>
              <w:bidi w:val="0"/>
              <w:spacing w:before="0" w:after="283"/>
              <w:jc w:val="left"/>
              <w:rPr/>
            </w:pPr>
            <w:r>
              <w:rPr/>
              <w:t> </w:t>
            </w:r>
          </w:p>
        </w:tc>
        <w:tc>
          <w:tcPr>
            <w:tcW w:w="516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4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 BANK TRUST COMPANY, NATIONAL ASSOCIATION, AS TRUSTEE</w:t>
            </w:r>
          </w:p>
        </w:tc>
        <w:tc>
          <w:tcPr>
            <w:tcW w:w="75" w:type="dxa"/>
            <w:tcBorders/>
            <w:vAlign w:val="center"/>
          </w:tcPr>
          <w:p>
            <w:pPr>
              <w:pStyle w:val="TableContents"/>
              <w:bidi w:val="0"/>
              <w:spacing w:before="0" w:after="283"/>
              <w:jc w:val="left"/>
              <w:rPr/>
            </w:pPr>
            <w:r>
              <w:rPr/>
              <w:t> </w:t>
            </w:r>
          </w:p>
        </w:tc>
      </w:tr>
      <w:tr>
        <w:trPr/>
        <w:tc>
          <w:tcPr>
            <w:tcW w:w="1320" w:type="dxa"/>
            <w:tcBorders/>
            <w:vAlign w:val="center"/>
          </w:tcPr>
          <w:p>
            <w:pPr>
              <w:pStyle w:val="TableContents"/>
              <w:bidi w:val="0"/>
              <w:spacing w:before="0" w:after="283"/>
              <w:jc w:val="left"/>
              <w:rPr/>
            </w:pPr>
            <w:r>
              <w:rPr/>
              <w:t> </w:t>
            </w:r>
          </w:p>
        </w:tc>
        <w:tc>
          <w:tcPr>
            <w:tcW w:w="516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51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i/>
              </w:rPr>
              <w:t>Quinton M. DePompolo</w:t>
            </w:r>
          </w:p>
        </w:tc>
        <w:tc>
          <w:tcPr>
            <w:tcW w:w="75" w:type="dxa"/>
            <w:tcBorders/>
            <w:vAlign w:val="center"/>
          </w:tcPr>
          <w:p>
            <w:pPr>
              <w:pStyle w:val="TableContents"/>
              <w:bidi w:val="0"/>
              <w:spacing w:before="0" w:after="283"/>
              <w:jc w:val="left"/>
              <w:rPr/>
            </w:pPr>
            <w:r>
              <w:rPr/>
              <w:t> </w:t>
            </w:r>
          </w:p>
        </w:tc>
      </w:tr>
      <w:tr>
        <w:trPr/>
        <w:tc>
          <w:tcPr>
            <w:tcW w:w="1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51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Quinton M. DePompolo</w:t>
            </w:r>
          </w:p>
        </w:tc>
        <w:tc>
          <w:tcPr>
            <w:tcW w:w="75" w:type="dxa"/>
            <w:tcBorders/>
            <w:vAlign w:val="center"/>
          </w:tcPr>
          <w:p>
            <w:pPr>
              <w:pStyle w:val="TableContents"/>
              <w:bidi w:val="0"/>
              <w:spacing w:before="0" w:after="283"/>
              <w:jc w:val="left"/>
              <w:rPr/>
            </w:pPr>
            <w:r>
              <w:rPr/>
              <w:t> </w:t>
            </w:r>
          </w:p>
        </w:tc>
      </w:tr>
      <w:tr>
        <w:trPr/>
        <w:tc>
          <w:tcPr>
            <w:tcW w:w="1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51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Second Supplemental Indenture]</w:t>
      </w:r>
    </w:p>
    <w:p>
      <w:pPr>
        <w:pStyle w:val="TextBody"/>
        <w:bidi w:val="0"/>
        <w:spacing w:before="0" w:after="0"/>
        <w:ind w:left="4022"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Insert Global Note Legend, if applicable</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Insert Non-Affiliate Legend</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CELCUITY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0.250% Convertible Senior Note due 2032</w:t>
      </w:r>
    </w:p>
    <w:p>
      <w:pPr>
        <w:pStyle w:val="TextBody"/>
        <w:bidi w:val="0"/>
        <w:spacing w:before="0" w:after="0"/>
        <w:jc w:val="center"/>
        <w:rPr>
          <w:caps w:val="false"/>
          <w:smallCaps w:val="false"/>
        </w:rPr>
      </w:pPr>
      <w:r>
        <w:rPr>
          <w:caps w:val="false"/>
          <w:smallCaps w:val="false"/>
        </w:rPr>
        <w:t> </w:t>
      </w:r>
    </w:p>
    <w:tbl>
      <w:tblPr>
        <w:tblW w:w="3045" w:type="dxa"/>
        <w:jc w:val="left"/>
        <w:tblInd w:w="0" w:type="dxa"/>
        <w:tblLayout w:type="fixed"/>
        <w:tblCellMar>
          <w:top w:w="0" w:type="dxa"/>
          <w:left w:w="0" w:type="dxa"/>
          <w:bottom w:w="0" w:type="dxa"/>
          <w:right w:w="0" w:type="dxa"/>
        </w:tblCellMar>
      </w:tblPr>
      <w:tblGrid>
        <w:gridCol w:w="995"/>
        <w:gridCol w:w="410"/>
        <w:gridCol w:w="60"/>
        <w:gridCol w:w="1580"/>
      </w:tblGrid>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CUSIP No.: </w:t>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Certificate No. [__]</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ISIN No.: </w:t>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Inc., a Delaware corporation, for value received, promises to pay to [Cede &amp; Co.], or its registered assigns, the principal sum of [__] dollars ($[__]) [(as revised by the attached Schedule of Exchanges of Interests in the Global Note)]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on August 1, 2032 and to pay interest thereon, as provided in the Indenture referred to below, until the principal and all accrued and unpaid interest are paid or duly provided for.</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February 1 and August 1 of each year, commencing on [__].</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Record Dates: January 15 and July 15.</w:t>
      </w:r>
    </w:p>
    <w:p>
      <w:pPr>
        <w:pStyle w:val="TextBody"/>
        <w:bidi w:val="0"/>
        <w:spacing w:before="0" w:after="0"/>
        <w:ind w:left="143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Note are set forth on the other side of this Note.</w:t>
      </w:r>
    </w:p>
    <w:p>
      <w:pPr>
        <w:pStyle w:val="TextBody"/>
        <w:bidi w:val="0"/>
        <w:spacing w:before="0" w:after="0"/>
        <w:ind w:left="1712"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The Remainder of This Page Intentionally Left Blank; Signature Page Follows</w:t>
      </w:r>
      <w:r>
        <w:rPr>
          <w:rFonts w:ascii="Times New Roman;Times;Serif" w:hAnsi="Times New Roman;Times;Serif"/>
          <w:b w:val="false"/>
          <w:i w:val="false"/>
          <w:caps w:val="false"/>
          <w:smallCaps w:val="false"/>
          <w:sz w:val="20"/>
        </w:rPr>
        <w:t>]</w:t>
      </w:r>
    </w:p>
    <w:p>
      <w:pPr>
        <w:pStyle w:val="TextBody"/>
        <w:bidi w:val="0"/>
        <w:spacing w:before="0" w:after="0"/>
        <w:ind w:left="2459"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Insert bracketed language for Global Notes only</w:t>
      </w:r>
    </w:p>
    <w:p>
      <w:pPr>
        <w:pStyle w:val="TextBody"/>
        <w:bidi w:val="0"/>
        <w:spacing w:before="0" w:after="0"/>
        <w:ind w:left="1440" w:right="0" w:hanging="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0" w:after="0"/>
        <w:ind w:left="0" w:right="0" w:hanging="0"/>
        <w:jc w:val="left"/>
        <w:rPr/>
      </w:pPr>
      <w:r>
        <w:rPr/>
        <w:t> </w:t>
      </w:r>
    </w:p>
    <w:p>
      <w:pPr>
        <w:pStyle w:val="TextBody"/>
        <w:bidi w:val="0"/>
        <w:spacing w:before="0" w:after="0"/>
        <w:ind w:left="1440" w:right="0" w:firstLine="71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Celcuity Inc. has caused this instrument to be duly executed as of the date set forth below.</w:t>
      </w:r>
    </w:p>
    <w:p>
      <w:pPr>
        <w:pStyle w:val="TextBody"/>
        <w:bidi w:val="0"/>
        <w:spacing w:before="0" w:after="0"/>
        <w:ind w:left="1440" w:right="0" w:firstLine="719"/>
        <w:jc w:val="left"/>
        <w:rPr>
          <w:caps w:val="false"/>
          <w:smallCaps w:val="false"/>
        </w:rPr>
      </w:pPr>
      <w:r>
        <w:rPr>
          <w:caps w:val="false"/>
          <w:smallCaps w:val="false"/>
        </w:rPr>
        <w:t> </w:t>
      </w:r>
    </w:p>
    <w:tbl>
      <w:tblPr>
        <w:tblW w:w="1854" w:type="dxa"/>
        <w:jc w:val="left"/>
        <w:tblInd w:w="0" w:type="dxa"/>
        <w:tblLayout w:type="fixed"/>
        <w:tblCellMar>
          <w:top w:w="0" w:type="dxa"/>
          <w:left w:w="0" w:type="dxa"/>
          <w:bottom w:w="0" w:type="dxa"/>
          <w:right w:w="0" w:type="dxa"/>
        </w:tblCellMar>
      </w:tblPr>
      <w:tblGrid>
        <w:gridCol w:w="470"/>
        <w:gridCol w:w="60"/>
        <w:gridCol w:w="60"/>
        <w:gridCol w:w="1094"/>
        <w:gridCol w:w="170"/>
      </w:tblGrid>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Celcuity Inc.</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4"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440" w:right="0" w:firstLine="719"/>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 certifies that this is one of the Notes referred to in the within-mentioned Indenture.</w:t>
      </w:r>
    </w:p>
    <w:p>
      <w:pPr>
        <w:pStyle w:val="TextBody"/>
        <w:bidi w:val="0"/>
        <w:spacing w:before="0" w:after="0"/>
        <w:jc w:val="center"/>
        <w:rPr>
          <w:caps w:val="false"/>
          <w:smallCaps w:val="false"/>
        </w:rPr>
      </w:pPr>
      <w:r>
        <w:rPr>
          <w:caps w:val="false"/>
          <w:smallCaps w:val="false"/>
        </w:rPr>
        <w:t> </w:t>
      </w:r>
    </w:p>
    <w:tbl>
      <w:tblPr>
        <w:tblW w:w="2700" w:type="dxa"/>
        <w:jc w:val="left"/>
        <w:tblInd w:w="0" w:type="dxa"/>
        <w:tblLayout w:type="fixed"/>
        <w:tblCellMar>
          <w:top w:w="0" w:type="dxa"/>
          <w:left w:w="0" w:type="dxa"/>
          <w:bottom w:w="0" w:type="dxa"/>
          <w:right w:w="0" w:type="dxa"/>
        </w:tblCellMar>
      </w:tblPr>
      <w:tblGrid>
        <w:gridCol w:w="470"/>
        <w:gridCol w:w="60"/>
        <w:gridCol w:w="60"/>
        <w:gridCol w:w="320"/>
        <w:gridCol w:w="179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CELCUITY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0.250% Convertible Senior Note due 2032</w:t>
      </w:r>
    </w:p>
    <w:p>
      <w:pPr>
        <w:pStyle w:val="TextBody"/>
        <w:bidi w:val="0"/>
        <w:spacing w:before="0" w:after="0"/>
        <w:ind w:left="1085"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notes of Celcuity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designated as its 0.250% Convertible Senior Notes due 2032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all issued or to be issued pursuant to an indenture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dated as of August 1, 2025, and a second supplemental indenture (as the same may be amended from time to time, the “</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and the Base Indenture, as amended and supplemented by the Supplemental Indenture, and as the same may be further amended or supplemented from time to time with respect to the Notes,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dated as of June 8, 2026, each between the Company and U.S. Bank Trust Company, National Association, as trustee. Capitalized terms used in this Note without definition have the respective meanings ascribed to them in the Indenture.</w:t>
      </w:r>
    </w:p>
    <w:p>
      <w:pPr>
        <w:pStyle w:val="TextBody"/>
        <w:bidi w:val="0"/>
        <w:spacing w:before="0" w:after="0"/>
        <w:ind w:left="1438"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pStyle w:val="TextBody"/>
        <w:bidi w:val="0"/>
        <w:spacing w:before="0" w:after="0"/>
        <w:ind w:left="144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This Note will accrue interest at a rate and in the manner set forth in Section 2.04 of the Supplemental Indenture. Stated Interest on this Note will begin to accrue from, and including, [</w:t>
      </w:r>
      <w:r>
        <w:rPr>
          <w:rFonts w:ascii="Times New Roman;Times;Serif" w:hAnsi="Times New Roman;Times;Serif"/>
          <w:b w:val="false"/>
          <w:i/>
          <w:caps w:val="false"/>
          <w:smallCaps w:val="false"/>
          <w:sz w:val="20"/>
        </w:rPr>
        <w:t>date</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Maturity</w:t>
      </w:r>
      <w:r>
        <w:rPr>
          <w:rFonts w:ascii="Times New Roman;Times;Serif" w:hAnsi="Times New Roman;Times;Serif"/>
          <w:b w:val="false"/>
          <w:i w:val="false"/>
          <w:caps w:val="false"/>
          <w:smallCaps w:val="false"/>
          <w:sz w:val="20"/>
        </w:rPr>
        <w:t>. This Note will mature on August 1, 2032, unless earlier repurchased, redeemed or Converted.</w:t>
      </w:r>
    </w:p>
    <w:p>
      <w:pPr>
        <w:pStyle w:val="TextBody"/>
        <w:bidi w:val="0"/>
        <w:spacing w:before="0" w:after="0"/>
        <w:ind w:left="212"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Method of Payment</w:t>
      </w:r>
      <w:r>
        <w:rPr>
          <w:rFonts w:ascii="Times New Roman;Times;Serif" w:hAnsi="Times New Roman;Times;Serif"/>
          <w:b w:val="false"/>
          <w:i w:val="false"/>
          <w:caps w:val="false"/>
          <w:smallCaps w:val="false"/>
          <w:sz w:val="20"/>
        </w:rPr>
        <w:t>. Cash amounts due on this Note will be paid in the manner set forth in Section 2.03 of the Supplemental Indenture.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Persons Deemed Owners</w:t>
      </w:r>
      <w:r>
        <w:rPr>
          <w:rFonts w:ascii="Times New Roman;Times;Serif" w:hAnsi="Times New Roman;Times;Serif"/>
          <w:b w:val="false"/>
          <w:i w:val="false"/>
          <w:caps w:val="false"/>
          <w:smallCaps w:val="false"/>
          <w:sz w:val="20"/>
        </w:rPr>
        <w:t>. The Holder of this Note will be treated as the owner of this Note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Denominations; Transfers and Exchanges</w:t>
      </w:r>
      <w:r>
        <w:rPr>
          <w:rFonts w:ascii="Times New Roman;Times;Serif" w:hAnsi="Times New Roman;Times;Serif"/>
          <w:b w:val="false"/>
          <w:i w:val="false"/>
          <w:caps w:val="false"/>
          <w:smallCaps w:val="false"/>
          <w:sz w:val="20"/>
        </w:rPr>
        <w:t>. All Notes will be in registered form, without coupons, in principal amounts equal to any Authorized Denominations. Subject to the terms of the Indenture, the Holder of this Note may transfer or exchange this Note by presenting it to the Registrar and delivering any required documentation or other materials.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Right of Holders to Require the Company to Repurchase Notes Upon a Fundamental Change</w:t>
      </w:r>
      <w:r>
        <w:rPr>
          <w:rFonts w:ascii="Times New Roman;Times;Serif" w:hAnsi="Times New Roman;Times;Serif"/>
          <w:b w:val="false"/>
          <w:i w:val="false"/>
          <w:caps w:val="false"/>
          <w:smallCaps w:val="false"/>
          <w:sz w:val="20"/>
        </w:rPr>
        <w:t>. If a Fundamental Change (other than an Exempted Fundamental Change) occurs, then each Holder will have the right to require the Company to repurchase such Holder’s Notes (or any portion thereof in an Authorized Denomination) for cash in the manner, and subject to the terms, set forth in Section 4.02 of the Supplemental Indenture.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Right of the Company to Redeem the Notes</w:t>
      </w:r>
      <w:r>
        <w:rPr>
          <w:rFonts w:ascii="Times New Roman;Times;Serif" w:hAnsi="Times New Roman;Times;Serif"/>
          <w:b w:val="false"/>
          <w:i w:val="false"/>
          <w:caps w:val="false"/>
          <w:smallCaps w:val="false"/>
          <w:sz w:val="20"/>
        </w:rPr>
        <w:t>. The Company will have the right to redeem the Notes for cash in the manner, and subject to the terms, set forth in Section 4.03 of the Supplemental Indenture.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The Holder of this Note may Convert this Note into Conversion Consideration in the manner, and subject to the terms, set forth in Article 5 of the Supplemental Indenture.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When the Company May Merge, Etc</w:t>
      </w:r>
      <w:r>
        <w:rPr>
          <w:rFonts w:ascii="Times New Roman;Times;Serif" w:hAnsi="Times New Roman;Times;Serif"/>
          <w:b w:val="false"/>
          <w:i w:val="false"/>
          <w:caps w:val="false"/>
          <w:smallCaps w:val="false"/>
          <w:sz w:val="20"/>
        </w:rPr>
        <w:t>. Article 6 of the Supplemental Indenture places limited restrictions on the Company’s ability to be a party to a Business Combination Event.</w:t>
      </w:r>
    </w:p>
    <w:p>
      <w:pPr>
        <w:pStyle w:val="TextBody"/>
        <w:bidi w:val="0"/>
        <w:spacing w:before="0" w:after="0"/>
        <w:ind w:left="144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Defaults and Remedies</w:t>
      </w:r>
      <w:r>
        <w:rPr>
          <w:rFonts w:ascii="Times New Roman;Times;Serif" w:hAnsi="Times New Roman;Times;Serif"/>
          <w:b w:val="false"/>
          <w:i w:val="false"/>
          <w:caps w:val="false"/>
          <w:smallCaps w:val="false"/>
          <w:sz w:val="20"/>
        </w:rPr>
        <w:t>. If an Event of Default occurs, then the principal amount of, and all accrued and unpaid interest on, all of the Notes then outstanding may (and, in certain circumstances, will automatically) become due and payable in the manner, and subject to the terms, set forth in Article 7 of the Supplemental Indenture.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Amendments, Supplements and Waivers</w:t>
      </w:r>
      <w:r>
        <w:rPr>
          <w:rFonts w:ascii="Times New Roman;Times;Serif" w:hAnsi="Times New Roman;Times;Serif"/>
          <w:b w:val="false"/>
          <w:i w:val="false"/>
          <w:caps w:val="false"/>
          <w:smallCaps w:val="false"/>
          <w:sz w:val="20"/>
        </w:rPr>
        <w:t>. The Company and the Trustee may amend or supplement the Indenture or the Notes or waive compliance with any provision of the Indenture or the Notes in the manner, and subject to the terms, set forth in Article 8 of the Supplemental Indenture.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rPr>
        <w:t>No Personal Liability of Directors, Officers, Employees and Stockholders</w:t>
      </w:r>
      <w:r>
        <w:rPr>
          <w:rFonts w:ascii="Times New Roman;Times;Serif" w:hAnsi="Times New Roman;Times;Serif"/>
          <w:b w:val="false"/>
          <w:i w:val="false"/>
          <w:caps w:val="false"/>
          <w:smallCaps w:val="false"/>
          <w:sz w:val="20"/>
        </w:rPr>
        <w:t>. No past, present or future director, 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rPr>
        <w:t>Authentication</w:t>
      </w:r>
      <w:r>
        <w:rPr>
          <w:rFonts w:ascii="Times New Roman;Times;Serif" w:hAnsi="Times New Roman;Times;Serif"/>
          <w:b w:val="false"/>
          <w:i w:val="false"/>
          <w:caps w:val="false"/>
          <w:smallCaps w:val="false"/>
          <w:sz w:val="20"/>
        </w:rPr>
        <w:t>. No Note will be valid until it is authenticated by the Trustee. A Note will be deemed to be duly authenticated only when an authorized signatory of the Trustee (or a duly appointed authenticating agent) manually signs the certificate of authentication of such Note.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rPr>
        <w:t>Abbreviations</w:t>
      </w:r>
      <w:r>
        <w:rPr>
          <w:rFonts w:ascii="Times New Roman;Times;Serif" w:hAnsi="Times New Roman;Times;Serif"/>
          <w:b w:val="false"/>
          <w:i w:val="false"/>
          <w:caps w:val="false"/>
          <w:smallCaps w:val="false"/>
          <w:sz w:val="20"/>
        </w:rPr>
        <w:t>. Customary abbreviations may be used in the name of a Holder or its assignee, such as TEN COM (tenants in common), TEN ENT (tenants by the entireties), JT TEN (joint tenants with right of survivorship and not as tenants in common), CUST (custodian), and U/G/M/A (Uniform Gift to Minors Act).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THIS NOTE, AND ANY CLAIM, CONTROVERSY OR DISPUTE ARISING UNDER OR RELATED TO THIS NOTE, WILL BE GOVERNED BY AND CONSTRUED IN ACCORDANCE WITH THE LAWS OF THE STATE OF NEW YORK.</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request a copy of the Indenture, which the Company will provide to any Holder at no charge, please send a written request to the following address: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16305 36th Avenue North, Suite 100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 55446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extBody"/>
        <w:bidi w:val="0"/>
        <w:spacing w:before="0" w:after="0"/>
        <w:ind w:left="4640" w:right="0" w:hanging="2"/>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79"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val="false"/>
          <w:i w:val="false"/>
          <w:caps w:val="false"/>
          <w:smallCaps w:val="false"/>
          <w:position w:val="7"/>
          <w:sz w:val="16"/>
          <w:sz w:val="20"/>
        </w:rPr>
        <w:t>*</w:t>
      </w:r>
    </w:p>
    <w:p>
      <w:pPr>
        <w:pStyle w:val="TextBody"/>
        <w:bidi w:val="0"/>
        <w:spacing w:before="0" w:after="0"/>
        <w:ind w:left="109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PRINCIPAL AMOUNT OF THIS GLOBAL NOTE: $[__]</w:t>
      </w:r>
    </w:p>
    <w:p>
      <w:pPr>
        <w:pStyle w:val="TextBody"/>
        <w:bidi w:val="0"/>
        <w:spacing w:before="0" w:after="0"/>
        <w:ind w:left="109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transfers or cancellations of this Global Note have been made:</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5"/>
        <w:gridCol w:w="60"/>
        <w:gridCol w:w="3616"/>
        <w:gridCol w:w="60"/>
        <w:gridCol w:w="3476"/>
        <w:gridCol w:w="60"/>
        <w:gridCol w:w="2508"/>
      </w:tblGrid>
      <w:tr>
        <w:trPr/>
        <w:tc>
          <w:tcPr>
            <w:tcW w:w="4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 Increase (Decrease) in Principal Amount of this Global Note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of this Global Note After Such Increase (Decrease)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Signatory of Trustee</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Insert for Global Notes only.</w:t>
      </w:r>
    </w:p>
    <w:p>
      <w:pPr>
        <w:pStyle w:val="TextBody"/>
        <w:bidi w:val="0"/>
        <w:spacing w:before="0" w:after="0"/>
        <w:ind w:left="1440" w:right="0" w:hanging="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NOTICE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0.250% Convertible Senior Notes due 2032</w:t>
      </w:r>
    </w:p>
    <w:p>
      <w:pPr>
        <w:pStyle w:val="TextBody"/>
        <w:bidi w:val="0"/>
        <w:spacing w:before="0" w:after="0"/>
        <w:ind w:left="6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by executing and delivering this Conversion Notice, the undersigned Holder of the Note identified below directs the Company to Convert (check one):</w:t>
      </w:r>
    </w:p>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30"/>
        <w:gridCol w:w="2435"/>
      </w:tblGrid>
      <w:tr>
        <w:trPr/>
        <w:tc>
          <w:tcPr>
            <w:tcW w:w="230" w:type="dxa"/>
            <w:tcBorders/>
            <w:vAlign w:val="center"/>
          </w:tcPr>
          <w:p>
            <w:pPr>
              <w:pStyle w:val="TableContents"/>
              <w:bidi w:val="0"/>
              <w:spacing w:before="0" w:after="283"/>
              <w:jc w:val="both"/>
              <w:rPr/>
            </w:pPr>
            <w:r>
              <w:rPr/>
              <w:t>☐</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entire principal amount of</w:t>
            </w:r>
          </w:p>
        </w:tc>
      </w:tr>
    </w:tbl>
    <w:p>
      <w:pPr>
        <w:pStyle w:val="TextBody"/>
        <w:bidi w:val="0"/>
        <w:spacing w:before="0" w:after="0"/>
        <w:ind w:left="720" w:right="0" w:hanging="72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230"/>
        <w:gridCol w:w="3545"/>
      </w:tblGrid>
      <w:tr>
        <w:trPr/>
        <w:tc>
          <w:tcPr>
            <w:tcW w:w="230" w:type="dxa"/>
            <w:tcBorders/>
            <w:vAlign w:val="center"/>
          </w:tcPr>
          <w:p>
            <w:pPr>
              <w:pStyle w:val="TableContents"/>
              <w:bidi w:val="0"/>
              <w:spacing w:before="0" w:after="283"/>
              <w:jc w:val="both"/>
              <w:rPr/>
            </w:pPr>
            <w:r>
              <w:rPr/>
              <w:t>☐</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_______ * aggregate principal amount of</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identified by CUSIP No. ___________ and Certificate No. 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470"/>
        <w:gridCol w:w="60"/>
        <w:gridCol w:w="60"/>
        <w:gridCol w:w="194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Holder)</w:t>
            </w:r>
          </w:p>
        </w:tc>
      </w:tr>
    </w:tbl>
    <w:p>
      <w:pPr>
        <w:pStyle w:val="TextBody"/>
        <w:bidi w:val="0"/>
        <w:spacing w:before="0" w:after="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75"/>
        <w:gridCol w:w="3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Medallion Program</w:t>
            </w:r>
          </w:p>
        </w:tc>
      </w:tr>
    </w:tbl>
    <w:p>
      <w:pPr>
        <w:pStyle w:val="TextBody"/>
        <w:bidi w:val="0"/>
        <w:spacing w:before="0" w:after="0"/>
        <w:ind w:left="5852" w:right="0" w:hanging="272"/>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5852" w:right="0" w:hanging="272"/>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Must be an Authorized Denomination.</w:t>
      </w:r>
    </w:p>
    <w:p>
      <w:pPr>
        <w:pStyle w:val="TextBody"/>
        <w:bidi w:val="0"/>
        <w:spacing w:before="0" w:after="0"/>
        <w:ind w:left="0" w:right="0" w:hanging="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CHANGE REPURCHASE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0.250% Convertible Senior Notes due 2032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by executing and delivering this Fundamental Change Repurchase Notice, the undersigned Holder of the Note identified below is exercising its Fundamental Change Repurchase Right with respect to (check one):</w:t>
      </w:r>
    </w:p>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30"/>
        <w:gridCol w:w="2435"/>
      </w:tblGrid>
      <w:tr>
        <w:trPr/>
        <w:tc>
          <w:tcPr>
            <w:tcW w:w="230" w:type="dxa"/>
            <w:tcBorders/>
            <w:vAlign w:val="center"/>
          </w:tcPr>
          <w:p>
            <w:pPr>
              <w:pStyle w:val="TableContents"/>
              <w:bidi w:val="0"/>
              <w:spacing w:before="0" w:after="283"/>
              <w:jc w:val="both"/>
              <w:rPr/>
            </w:pPr>
            <w:r>
              <w:rPr/>
              <w:t>☐</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entire principal amount of</w:t>
            </w:r>
          </w:p>
        </w:tc>
      </w:tr>
    </w:tbl>
    <w:p>
      <w:pPr>
        <w:pStyle w:val="TextBody"/>
        <w:bidi w:val="0"/>
        <w:spacing w:before="0" w:after="0"/>
        <w:ind w:left="720" w:right="0" w:hanging="72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230"/>
        <w:gridCol w:w="3545"/>
      </w:tblGrid>
      <w:tr>
        <w:trPr/>
        <w:tc>
          <w:tcPr>
            <w:tcW w:w="230" w:type="dxa"/>
            <w:tcBorders/>
            <w:vAlign w:val="center"/>
          </w:tcPr>
          <w:p>
            <w:pPr>
              <w:pStyle w:val="TableContents"/>
              <w:bidi w:val="0"/>
              <w:spacing w:before="0" w:after="283"/>
              <w:jc w:val="both"/>
              <w:rPr/>
            </w:pPr>
            <w:r>
              <w:rPr/>
              <w:t>☐</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_______ * aggregate principal amount of</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identified by CUSIP No. _________ and Certificate No. ___________.</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470"/>
        <w:gridCol w:w="60"/>
        <w:gridCol w:w="60"/>
        <w:gridCol w:w="194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Holder)</w:t>
            </w:r>
          </w:p>
        </w:tc>
      </w:tr>
    </w:tbl>
    <w:p>
      <w:pPr>
        <w:pStyle w:val="TextBody"/>
        <w:bidi w:val="0"/>
        <w:spacing w:before="0" w:after="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75"/>
        <w:gridCol w:w="3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Medallion Program</w:t>
            </w:r>
          </w:p>
        </w:tc>
      </w:tr>
    </w:tbl>
    <w:p>
      <w:pPr>
        <w:pStyle w:val="TextBody"/>
        <w:bidi w:val="0"/>
        <w:spacing w:before="0" w:after="0"/>
        <w:jc w:val="center"/>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Must be an Authorized Denomination.</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0.250% Convertible Senior Notes due 2032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the undersigned Holder of the Note identified below assigns (check one):</w:t>
      </w:r>
    </w:p>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30"/>
        <w:gridCol w:w="2435"/>
      </w:tblGrid>
      <w:tr>
        <w:trPr/>
        <w:tc>
          <w:tcPr>
            <w:tcW w:w="230" w:type="dxa"/>
            <w:tcBorders/>
            <w:vAlign w:val="center"/>
          </w:tcPr>
          <w:p>
            <w:pPr>
              <w:pStyle w:val="TableContents"/>
              <w:bidi w:val="0"/>
              <w:spacing w:before="0" w:after="283"/>
              <w:jc w:val="both"/>
              <w:rPr/>
            </w:pPr>
            <w:r>
              <w:rPr/>
              <w:t>☐</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entire principal amount of</w:t>
            </w:r>
          </w:p>
        </w:tc>
      </w:tr>
    </w:tbl>
    <w:p>
      <w:pPr>
        <w:pStyle w:val="TextBody"/>
        <w:bidi w:val="0"/>
        <w:spacing w:before="0" w:after="0"/>
        <w:ind w:left="720" w:right="0" w:hanging="72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230"/>
        <w:gridCol w:w="3545"/>
      </w:tblGrid>
      <w:tr>
        <w:trPr/>
        <w:tc>
          <w:tcPr>
            <w:tcW w:w="230" w:type="dxa"/>
            <w:tcBorders/>
            <w:vAlign w:val="center"/>
          </w:tcPr>
          <w:p>
            <w:pPr>
              <w:pStyle w:val="TableContents"/>
              <w:bidi w:val="0"/>
              <w:spacing w:before="0" w:after="283"/>
              <w:jc w:val="both"/>
              <w:rPr/>
            </w:pPr>
            <w:r>
              <w:rPr/>
              <w:t>☐</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_______ * aggregate principal amount of</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identified by CUSIP No. _________ and Certificate No. ___________, and all rights thereunder, to:</w:t>
      </w:r>
    </w:p>
    <w:p>
      <w:pPr>
        <w:pStyle w:val="TextBody"/>
        <w:bidi w:val="0"/>
        <w:spacing w:before="0" w:after="0"/>
        <w:ind w:left="0" w:right="0" w:hanging="0"/>
        <w:jc w:val="left"/>
        <w:rPr>
          <w:caps w:val="false"/>
          <w:smallCaps w:val="false"/>
        </w:rPr>
      </w:pPr>
      <w:r>
        <w:rPr>
          <w:caps w:val="false"/>
          <w:smallCaps w:val="false"/>
        </w:rPr>
        <w:t> </w:t>
      </w:r>
    </w:p>
    <w:tbl>
      <w:tblPr>
        <w:tblW w:w="2690" w:type="dxa"/>
        <w:jc w:val="left"/>
        <w:tblInd w:w="0" w:type="dxa"/>
        <w:tblLayout w:type="fixed"/>
        <w:tblCellMar>
          <w:top w:w="0" w:type="dxa"/>
          <w:left w:w="0" w:type="dxa"/>
          <w:bottom w:w="0" w:type="dxa"/>
          <w:right w:w="0" w:type="dxa"/>
        </w:tblCellMar>
      </w:tblPr>
      <w:tblGrid>
        <w:gridCol w:w="2555"/>
        <w:gridCol w:w="60"/>
        <w:gridCol w:w="75"/>
      </w:tblGrid>
      <w:tr>
        <w:trPr/>
        <w:tc>
          <w:tcPr>
            <w:tcW w:w="25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Address:</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Social security or tax id. #:</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and irrevocably appoints:</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agent to transfer the within Note on the books of the Company. The agent may substitute another to act for him/her.</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470"/>
        <w:gridCol w:w="60"/>
        <w:gridCol w:w="60"/>
        <w:gridCol w:w="194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Holder)</w:t>
            </w:r>
          </w:p>
        </w:tc>
      </w:tr>
    </w:tbl>
    <w:p>
      <w:pPr>
        <w:pStyle w:val="TextBody"/>
        <w:bidi w:val="0"/>
        <w:spacing w:before="0" w:after="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75"/>
        <w:gridCol w:w="3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Medallion Program</w:t>
            </w:r>
          </w:p>
        </w:tc>
      </w:tr>
    </w:tbl>
    <w:p>
      <w:pPr>
        <w:pStyle w:val="TextBody"/>
        <w:bidi w:val="0"/>
        <w:spacing w:before="0" w:after="0"/>
        <w:jc w:val="center"/>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Must be an Authorized Denomination.</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A-10</w:t>
            </w:r>
          </w:p>
        </w:tc>
      </w:tr>
    </w:tbl>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GLOBAL NOTE LEGEND</w:t>
      </w:r>
    </w:p>
    <w:p>
      <w:pPr>
        <w:pStyle w:val="TextBody"/>
        <w:bidi w:val="0"/>
        <w:spacing w:before="0" w:after="0"/>
        <w:ind w:left="4378"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SUPPLEMENTAL INDENTURE HEREINAFTER REFERRED TO.</w:t>
      </w:r>
    </w:p>
    <w:p>
      <w:pPr>
        <w:pStyle w:val="TextBody"/>
        <w:bidi w:val="0"/>
        <w:spacing w:before="0" w:after="0"/>
        <w:ind w:left="144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NON-AFFILIATE LEGEND</w:t>
      </w:r>
    </w:p>
    <w:p>
      <w:pPr>
        <w:pStyle w:val="TextBody"/>
        <w:bidi w:val="0"/>
        <w:spacing w:before="0" w:after="0"/>
        <w:ind w:left="4313"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AFFILIATE (AS DEFINED IN RULE 144 UNDER THE SECURITIES ACT OF 1933, AS AMENDED) OF THE COMPANY OR PERSON OR ENTITY THAT WAS AN AFFILIATE (AS DEFINED UNDER RULE 144 UNDER THE SECURITIES ACT OF 1933, AS AMENDED) OF THE COMPANY WITHIN THE THREE MONTHS IMMEDIATELY PRECEDING, MAY PURCHASE OR OTHERWISE ACQUIRE THIS NOTE OR ANY BENEFICIAL INTEREST HEREIN.</w:t>
      </w:r>
    </w:p>
    <w:p>
      <w:pPr>
        <w:pStyle w:val="TextBody"/>
        <w:bidi w:val="0"/>
        <w:spacing w:before="0" w:after="0"/>
        <w:jc w:val="center"/>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7" w:name="ex4-3.htm"/>
      <w:bookmarkStart w:id="28" w:name="ksex43"/>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SUPPLEMENTAL INDENTURE HEREINAFTER REFERRED TO.</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CELCUITY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0.250% Convertible Senior Note due 2032</w:t>
      </w:r>
    </w:p>
    <w:p>
      <w:pPr>
        <w:pStyle w:val="TextBody"/>
        <w:bidi w:val="0"/>
        <w:spacing w:before="0" w:after="0"/>
        <w:ind w:left="0" w:right="0" w:hanging="0"/>
        <w:jc w:val="center"/>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995"/>
        <w:gridCol w:w="1400"/>
        <w:gridCol w:w="60"/>
        <w:gridCol w:w="1985"/>
      </w:tblGrid>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CUSIP No.: </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15102K AB6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Certificate No. _______</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ISIN No.: </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US15102KAB61</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Inc., a Delaware corporation, for value received, promises to pay to Cede &amp; Co., or its registered assigns, the principal sum of __________________________ dollars ($_________) (as revised by the attached Schedule of Exchanges of Interests in the Global Note) on August 1, 2032 and to pay interest thereon, as provided in the Indenture referred to below, until the principal and all accrued and unpaid interest are paid or duly provided for.</w:t>
      </w:r>
    </w:p>
    <w:p>
      <w:pPr>
        <w:pStyle w:val="TextBody"/>
        <w:bidi w:val="0"/>
        <w:spacing w:before="0" w:after="0"/>
        <w:ind w:left="0" w:right="0" w:hanging="0"/>
        <w:jc w:val="both"/>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1925"/>
        <w:gridCol w:w="5900"/>
      </w:tblGrid>
      <w:tr>
        <w:trPr/>
        <w:tc>
          <w:tcPr>
            <w:tcW w:w="1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Payment Dates:</w:t>
            </w:r>
          </w:p>
        </w:tc>
        <w:tc>
          <w:tcPr>
            <w:tcW w:w="5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February 1 and August 1 of each year, commencing on February 1, 2027.</w:t>
            </w:r>
          </w:p>
        </w:tc>
      </w:tr>
      <w:tr>
        <w:trPr/>
        <w:tc>
          <w:tcPr>
            <w:tcW w:w="1925" w:type="dxa"/>
            <w:tcBorders/>
            <w:vAlign w:val="center"/>
          </w:tcPr>
          <w:p>
            <w:pPr>
              <w:pStyle w:val="TableContents"/>
              <w:bidi w:val="0"/>
              <w:spacing w:before="0" w:after="283"/>
              <w:jc w:val="both"/>
              <w:rPr/>
            </w:pPr>
            <w:r>
              <w:rPr/>
              <w:t> </w:t>
            </w:r>
          </w:p>
        </w:tc>
        <w:tc>
          <w:tcPr>
            <w:tcW w:w="5900" w:type="dxa"/>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Regular Record Dates:</w:t>
            </w:r>
          </w:p>
        </w:tc>
        <w:tc>
          <w:tcPr>
            <w:tcW w:w="5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15 and July 15.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Note are set forth on the other side of this Note.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The Remainder of This Page Intentionally Left Blank; Signature Page Follows</w:t>
      </w:r>
      <w:r>
        <w:rPr>
          <w:rFonts w:ascii="Times New Roman;Times;Serif" w:hAnsi="Times New Roman;Times;Serif"/>
          <w:b w:val="false"/>
          <w:i w:val="false"/>
          <w:caps w:val="false"/>
          <w:smallCaps w:val="false"/>
          <w:sz w:val="20"/>
        </w:rPr>
        <w:t>]</w:t>
      </w:r>
    </w:p>
    <w:p>
      <w:pPr>
        <w:pStyle w:val="TextBody"/>
        <w:bidi w:val="0"/>
        <w:spacing w:before="0" w:after="0"/>
        <w:ind w:left="5"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Celcuity Inc. has caused this instrument to be duly executed as of the date set forth below.</w:t>
      </w:r>
    </w:p>
    <w:p>
      <w:pPr>
        <w:pStyle w:val="TextBody"/>
        <w:bidi w:val="0"/>
        <w:spacing w:before="0" w:after="0"/>
        <w:ind w:left="0" w:right="0" w:firstLine="720"/>
        <w:jc w:val="left"/>
        <w:rPr>
          <w:caps w:val="false"/>
          <w:smallCaps w:val="false"/>
        </w:rPr>
      </w:pPr>
      <w:r>
        <w:rPr>
          <w:caps w:val="false"/>
          <w:smallCaps w:val="false"/>
        </w:rPr>
        <w:t> </w:t>
      </w:r>
    </w:p>
    <w:tbl>
      <w:tblPr>
        <w:tblW w:w="1854" w:type="dxa"/>
        <w:jc w:val="left"/>
        <w:tblInd w:w="0" w:type="dxa"/>
        <w:tblLayout w:type="fixed"/>
        <w:tblCellMar>
          <w:top w:w="0" w:type="dxa"/>
          <w:left w:w="0" w:type="dxa"/>
          <w:bottom w:w="0" w:type="dxa"/>
          <w:right w:w="0" w:type="dxa"/>
        </w:tblCellMar>
      </w:tblPr>
      <w:tblGrid>
        <w:gridCol w:w="470"/>
        <w:gridCol w:w="60"/>
        <w:gridCol w:w="60"/>
        <w:gridCol w:w="662"/>
        <w:gridCol w:w="602"/>
      </w:tblGrid>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Celcuity Inc.</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2"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 certifies that this is one of the Notes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2700" w:type="dxa"/>
        <w:jc w:val="left"/>
        <w:tblInd w:w="0" w:type="dxa"/>
        <w:tblLayout w:type="fixed"/>
        <w:tblCellMar>
          <w:top w:w="0" w:type="dxa"/>
          <w:left w:w="0" w:type="dxa"/>
          <w:bottom w:w="0" w:type="dxa"/>
          <w:right w:w="0" w:type="dxa"/>
        </w:tblCellMar>
      </w:tblPr>
      <w:tblGrid>
        <w:gridCol w:w="470"/>
        <w:gridCol w:w="60"/>
        <w:gridCol w:w="60"/>
        <w:gridCol w:w="320"/>
        <w:gridCol w:w="179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CELCUITY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0.250% Convertible Senior Note due 2032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notes of Celcuity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designated as its 0.250% Convertible Senior Notes due 2032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all issued or to be issued pursuant to an indenture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dated as of August 1, 2025, and a second supplemental indenture (as the same may be amended from time to time, the “</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and the Base Indenture, as amended and supplemented by the Supplemental Indenture, and as the same may be further amended or supplemented from time to time with respect to the Notes,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dated as of June 8, 2026, each between the Company and U.S. Bank Trust Company, National Association, as trustee. Capitalized terms used in this Note without definition have the respective meanings ascribed to them in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This Note will accrue interest at a rate and in the manner set forth in Section 2.04 of the Supplemental Indenture. Stated Interest on this Note will begin to accrue from, and including, June 8,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Maturity</w:t>
      </w:r>
      <w:r>
        <w:rPr>
          <w:rFonts w:ascii="Times New Roman;Times;Serif" w:hAnsi="Times New Roman;Times;Serif"/>
          <w:b w:val="false"/>
          <w:i w:val="false"/>
          <w:caps w:val="false"/>
          <w:smallCaps w:val="false"/>
          <w:sz w:val="20"/>
        </w:rPr>
        <w:t>. This Note will mature on August 1, 2032, unless earlier repurchased, redeemed or Converted.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Method of Payment</w:t>
      </w:r>
      <w:r>
        <w:rPr>
          <w:rFonts w:ascii="Times New Roman;Times;Serif" w:hAnsi="Times New Roman;Times;Serif"/>
          <w:b w:val="false"/>
          <w:i w:val="false"/>
          <w:caps w:val="false"/>
          <w:smallCaps w:val="false"/>
          <w:sz w:val="20"/>
        </w:rPr>
        <w:t>. Cash amounts due on this Note will be paid in the manner set forth in Section 2.03 of the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Persons Deemed Owners</w:t>
      </w:r>
      <w:r>
        <w:rPr>
          <w:rFonts w:ascii="Times New Roman;Times;Serif" w:hAnsi="Times New Roman;Times;Serif"/>
          <w:b w:val="false"/>
          <w:i w:val="false"/>
          <w:caps w:val="false"/>
          <w:smallCaps w:val="false"/>
          <w:sz w:val="20"/>
        </w:rPr>
        <w:t>. The Holder of this Note will be treated as the owner of this Note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Denominations; Transfers and Exchanges</w:t>
      </w:r>
      <w:r>
        <w:rPr>
          <w:rFonts w:ascii="Times New Roman;Times;Serif" w:hAnsi="Times New Roman;Times;Serif"/>
          <w:b w:val="false"/>
          <w:i w:val="false"/>
          <w:caps w:val="false"/>
          <w:smallCaps w:val="false"/>
          <w:sz w:val="20"/>
        </w:rPr>
        <w:t>. All Notes will be in registered form, without coupons, in principal amounts equal to any Authorized Denominations. Subject to the terms of the Indenture, the Holder of this Note may transfer or exchange this Note by presenting it to the Registrar and delivering any required documentation or other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Right of Holders to Require the Company to Repurchase Notes Upon a Fundamental Change</w:t>
      </w:r>
      <w:r>
        <w:rPr>
          <w:rFonts w:ascii="Times New Roman;Times;Serif" w:hAnsi="Times New Roman;Times;Serif"/>
          <w:b w:val="false"/>
          <w:i w:val="false"/>
          <w:caps w:val="false"/>
          <w:smallCaps w:val="false"/>
          <w:sz w:val="20"/>
        </w:rPr>
        <w:t>. If a Fundamental Change (other than an Exempted Fundamental Change) occurs, then each Holder will have the right to require the Company to repurchase such Holder’s Notes (or any portion thereof in an Authorized Denomination) for cash in the manner, and subject to the terms, set forth in Section 4.02 of the Supplemental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Right of the Company to Redeem the Notes</w:t>
      </w:r>
      <w:r>
        <w:rPr>
          <w:rFonts w:ascii="Times New Roman;Times;Serif" w:hAnsi="Times New Roman;Times;Serif"/>
          <w:b w:val="false"/>
          <w:i w:val="false"/>
          <w:caps w:val="false"/>
          <w:smallCaps w:val="false"/>
          <w:sz w:val="20"/>
        </w:rPr>
        <w:t>. The Company will have the right to redeem the Notes for cash in the manner, and subject to the terms, set forth in Section 4.03 of the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The Holder of this Note may Convert this Note into Conversion Consideration in the manner, and subject to the terms, set forth in Article 5 of the Supplemental Indenture.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When the Company May Merge, Etc</w:t>
      </w:r>
      <w:r>
        <w:rPr>
          <w:rFonts w:ascii="Times New Roman;Times;Serif" w:hAnsi="Times New Roman;Times;Serif"/>
          <w:b w:val="false"/>
          <w:i w:val="false"/>
          <w:caps w:val="false"/>
          <w:smallCaps w:val="false"/>
          <w:sz w:val="20"/>
        </w:rPr>
        <w:t>. Article 6 of the Supplemental Indenture places limited restrictions on the Company’s ability to be a party to a Business Combination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Defaults and Remedies</w:t>
      </w:r>
      <w:r>
        <w:rPr>
          <w:rFonts w:ascii="Times New Roman;Times;Serif" w:hAnsi="Times New Roman;Times;Serif"/>
          <w:b w:val="false"/>
          <w:i w:val="false"/>
          <w:caps w:val="false"/>
          <w:smallCaps w:val="false"/>
          <w:sz w:val="20"/>
        </w:rPr>
        <w:t>. If an Event of Default occurs, then the principal amount of, and all accrued and unpaid interest on, all of the Notes then outstanding may (and, in certain circumstances, will automatically) become due and payable in the manner, and subject to the terms, set forth in Article 7 of the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Amendments, Supplements and Waivers</w:t>
      </w:r>
      <w:r>
        <w:rPr>
          <w:rFonts w:ascii="Times New Roman;Times;Serif" w:hAnsi="Times New Roman;Times;Serif"/>
          <w:b w:val="false"/>
          <w:i w:val="false"/>
          <w:caps w:val="false"/>
          <w:smallCaps w:val="false"/>
          <w:sz w:val="20"/>
        </w:rPr>
        <w:t>. The Company and the Trustee may amend or supplement the Indenture or the Notes or waive compliance with any provision of the Indenture or the Notes in the manner, and subject to the terms, set forth in Article 8 of the Supplemental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rPr>
        <w:t>No Personal Liability of Directors, Officers, Employees and Stockholders</w:t>
      </w:r>
      <w:r>
        <w:rPr>
          <w:rFonts w:ascii="Times New Roman;Times;Serif" w:hAnsi="Times New Roman;Times;Serif"/>
          <w:b w:val="false"/>
          <w:i w:val="false"/>
          <w:caps w:val="false"/>
          <w:smallCaps w:val="false"/>
          <w:sz w:val="20"/>
        </w:rPr>
        <w:t>. No past, present or future director, 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rPr>
        <w:t>Authentication</w:t>
      </w:r>
      <w:r>
        <w:rPr>
          <w:rFonts w:ascii="Times New Roman;Times;Serif" w:hAnsi="Times New Roman;Times;Serif"/>
          <w:b w:val="false"/>
          <w:i w:val="false"/>
          <w:caps w:val="false"/>
          <w:smallCaps w:val="false"/>
          <w:sz w:val="20"/>
        </w:rPr>
        <w:t>. No Note will be valid until it is authenticated by the Trustee. A Note will be deemed to be duly authenticated only when an authorized signatory of the Trustee (or a duly appointed authenticating agent) manually signs the certificate of authentication of such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rPr>
        <w:t>Abbreviations</w:t>
      </w:r>
      <w:r>
        <w:rPr>
          <w:rFonts w:ascii="Times New Roman;Times;Serif" w:hAnsi="Times New Roman;Times;Serif"/>
          <w:b w:val="false"/>
          <w:i w:val="false"/>
          <w:caps w:val="false"/>
          <w:smallCaps w:val="false"/>
          <w:sz w:val="20"/>
        </w:rPr>
        <w:t>. Customary abbreviations may be used in the name of a Holder or its assignee, such as TEN COM (tenants in common), TEN ENT (tenants by the entireties), JT TEN (joint tenants with right of survivorship and not as tenants in common), CUST (custodian), and U/G/M/A (Uniform Gift to Minors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THIS NOTE, AND ANY CLAIM, CONTROVERSY OR DISPUTE ARISING UNDER OR RELATED TO THIS NOTE, WILL BE GOVERNED BY AND CONSTRUED IN ACCORDANCE WITH THE LAWS OF THE STATE OF NEW YORK.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request a copy of the Indenture, which the Company will provide to any Holder at no charge, please send a written request to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16305 36th Avenue North, Suite 100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 55446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extBody"/>
        <w:bidi w:val="0"/>
        <w:spacing w:before="0" w:after="0"/>
        <w:ind w:left="2884"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PRINCIPAL AMOUNT OF THIS GLOBAL NOTE: $[__]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transfers or cancellations of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5"/>
        <w:gridCol w:w="60"/>
        <w:gridCol w:w="3616"/>
        <w:gridCol w:w="60"/>
        <w:gridCol w:w="3476"/>
        <w:gridCol w:w="60"/>
        <w:gridCol w:w="2508"/>
      </w:tblGrid>
      <w:tr>
        <w:trPr/>
        <w:tc>
          <w:tcPr>
            <w:tcW w:w="4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 Increase (Decrease) in Principal Amount of this Global Note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of this Global Note After Such Increase (Decrease)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Signatory of Trustee</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1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76"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NOTICE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0.250% Convertible Senior Notes due 2032</w:t>
      </w:r>
    </w:p>
    <w:p>
      <w:pPr>
        <w:pStyle w:val="TextBody"/>
        <w:bidi w:val="0"/>
        <w:spacing w:before="0" w:after="0"/>
        <w:ind w:left="6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by executing and delivering this Conversion Notice, the undersigned Holder of the Note identified below directs the Company to Convert (check one):</w:t>
      </w:r>
    </w:p>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30"/>
        <w:gridCol w:w="2435"/>
      </w:tblGrid>
      <w:tr>
        <w:trPr/>
        <w:tc>
          <w:tcPr>
            <w:tcW w:w="230" w:type="dxa"/>
            <w:tcBorders/>
            <w:vAlign w:val="center"/>
          </w:tcPr>
          <w:p>
            <w:pPr>
              <w:pStyle w:val="TableContents"/>
              <w:bidi w:val="0"/>
              <w:spacing w:before="0" w:after="283"/>
              <w:jc w:val="both"/>
              <w:rPr/>
            </w:pPr>
            <w:r>
              <w:rPr/>
              <w:t>☐</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entire principal amount of</w:t>
            </w:r>
          </w:p>
        </w:tc>
      </w:tr>
    </w:tbl>
    <w:p>
      <w:pPr>
        <w:pStyle w:val="TextBody"/>
        <w:bidi w:val="0"/>
        <w:spacing w:before="0" w:after="0"/>
        <w:ind w:left="720" w:right="0" w:hanging="72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230"/>
        <w:gridCol w:w="3545"/>
      </w:tblGrid>
      <w:tr>
        <w:trPr/>
        <w:tc>
          <w:tcPr>
            <w:tcW w:w="230" w:type="dxa"/>
            <w:tcBorders/>
            <w:vAlign w:val="center"/>
          </w:tcPr>
          <w:p>
            <w:pPr>
              <w:pStyle w:val="TableContents"/>
              <w:bidi w:val="0"/>
              <w:spacing w:before="0" w:after="283"/>
              <w:jc w:val="both"/>
              <w:rPr/>
            </w:pPr>
            <w:r>
              <w:rPr/>
              <w:t>☐</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_______ * aggregate principal amount of</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identified by CUSIP No. ___________ and Certificate No. 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470"/>
        <w:gridCol w:w="60"/>
        <w:gridCol w:w="60"/>
        <w:gridCol w:w="194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Holder)</w:t>
            </w:r>
          </w:p>
        </w:tc>
      </w:tr>
    </w:tbl>
    <w:p>
      <w:pPr>
        <w:pStyle w:val="TextBody"/>
        <w:bidi w:val="0"/>
        <w:spacing w:before="0" w:after="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75"/>
        <w:gridCol w:w="3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Medallion Program</w:t>
            </w:r>
          </w:p>
        </w:tc>
      </w:tr>
    </w:tbl>
    <w:p>
      <w:pPr>
        <w:pStyle w:val="TextBody"/>
        <w:bidi w:val="0"/>
        <w:spacing w:before="0" w:after="0"/>
        <w:ind w:left="5852" w:right="0" w:hanging="272"/>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5852" w:right="0" w:hanging="272"/>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Must be an Authorized Denomination.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CHANGE REPURCHASE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0.250% Convertible Senior Notes due 2032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by executing and delivering this Fundamental Change Repurchase Notice, the undersigned Holder of the Note identified below is exercising its Fundamental Change Repurchase Right with respect to (check one):</w:t>
      </w:r>
    </w:p>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30"/>
        <w:gridCol w:w="2435"/>
      </w:tblGrid>
      <w:tr>
        <w:trPr/>
        <w:tc>
          <w:tcPr>
            <w:tcW w:w="230" w:type="dxa"/>
            <w:tcBorders/>
            <w:vAlign w:val="center"/>
          </w:tcPr>
          <w:p>
            <w:pPr>
              <w:pStyle w:val="TableContents"/>
              <w:bidi w:val="0"/>
              <w:spacing w:before="0" w:after="283"/>
              <w:jc w:val="both"/>
              <w:rPr/>
            </w:pPr>
            <w:r>
              <w:rPr/>
              <w:t>☐</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entire principal amount of</w:t>
            </w:r>
          </w:p>
        </w:tc>
      </w:tr>
    </w:tbl>
    <w:p>
      <w:pPr>
        <w:pStyle w:val="TextBody"/>
        <w:bidi w:val="0"/>
        <w:spacing w:before="0" w:after="0"/>
        <w:ind w:left="720" w:right="0" w:hanging="72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230"/>
        <w:gridCol w:w="3545"/>
      </w:tblGrid>
      <w:tr>
        <w:trPr/>
        <w:tc>
          <w:tcPr>
            <w:tcW w:w="230" w:type="dxa"/>
            <w:tcBorders/>
            <w:vAlign w:val="center"/>
          </w:tcPr>
          <w:p>
            <w:pPr>
              <w:pStyle w:val="TableContents"/>
              <w:bidi w:val="0"/>
              <w:spacing w:before="0" w:after="283"/>
              <w:jc w:val="both"/>
              <w:rPr/>
            </w:pPr>
            <w:r>
              <w:rPr/>
              <w:t>☐</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_______ * aggregate principal amount of</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identified by CUSIP No. _________ and Certificate No. ___________.</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470"/>
        <w:gridCol w:w="60"/>
        <w:gridCol w:w="60"/>
        <w:gridCol w:w="194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Holder)</w:t>
            </w:r>
          </w:p>
        </w:tc>
      </w:tr>
    </w:tbl>
    <w:p>
      <w:pPr>
        <w:pStyle w:val="TextBody"/>
        <w:bidi w:val="0"/>
        <w:spacing w:before="0" w:after="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75"/>
        <w:gridCol w:w="3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Medallion Program</w:t>
            </w:r>
          </w:p>
        </w:tc>
      </w:tr>
    </w:tbl>
    <w:p>
      <w:pPr>
        <w:pStyle w:val="TextBody"/>
        <w:bidi w:val="0"/>
        <w:spacing w:before="0" w:after="0"/>
        <w:jc w:val="center"/>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Must be an Authorized Denomination.</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0.250% Convertible Senior Notes due 2032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the undersigned Holder of the Note identified below assigns (check one):</w:t>
      </w:r>
    </w:p>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30"/>
        <w:gridCol w:w="2435"/>
      </w:tblGrid>
      <w:tr>
        <w:trPr/>
        <w:tc>
          <w:tcPr>
            <w:tcW w:w="230" w:type="dxa"/>
            <w:tcBorders/>
            <w:vAlign w:val="center"/>
          </w:tcPr>
          <w:p>
            <w:pPr>
              <w:pStyle w:val="TableContents"/>
              <w:bidi w:val="0"/>
              <w:spacing w:before="0" w:after="283"/>
              <w:jc w:val="both"/>
              <w:rPr/>
            </w:pPr>
            <w:r>
              <w:rPr/>
              <w:t>☐</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entire principal amount of</w:t>
            </w:r>
          </w:p>
        </w:tc>
      </w:tr>
    </w:tbl>
    <w:p>
      <w:pPr>
        <w:pStyle w:val="TextBody"/>
        <w:bidi w:val="0"/>
        <w:spacing w:before="0" w:after="0"/>
        <w:ind w:left="720" w:right="0" w:hanging="72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230"/>
        <w:gridCol w:w="3545"/>
      </w:tblGrid>
      <w:tr>
        <w:trPr/>
        <w:tc>
          <w:tcPr>
            <w:tcW w:w="230" w:type="dxa"/>
            <w:tcBorders/>
            <w:vAlign w:val="center"/>
          </w:tcPr>
          <w:p>
            <w:pPr>
              <w:pStyle w:val="TableContents"/>
              <w:bidi w:val="0"/>
              <w:spacing w:before="0" w:after="283"/>
              <w:jc w:val="both"/>
              <w:rPr/>
            </w:pPr>
            <w:r>
              <w:rPr/>
              <w:t>☐</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_______ * aggregate principal amount of</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identified by CUSIP No. _________ and Certificate No. ___________, and all rights thereunder, to:</w:t>
      </w:r>
    </w:p>
    <w:p>
      <w:pPr>
        <w:pStyle w:val="TextBody"/>
        <w:bidi w:val="0"/>
        <w:spacing w:before="0" w:after="0"/>
        <w:ind w:left="0" w:right="0" w:hanging="0"/>
        <w:jc w:val="left"/>
        <w:rPr>
          <w:caps w:val="false"/>
          <w:smallCaps w:val="false"/>
        </w:rPr>
      </w:pPr>
      <w:r>
        <w:rPr>
          <w:caps w:val="false"/>
          <w:smallCaps w:val="false"/>
        </w:rPr>
        <w:t> </w:t>
      </w:r>
    </w:p>
    <w:tbl>
      <w:tblPr>
        <w:tblW w:w="2690" w:type="dxa"/>
        <w:jc w:val="left"/>
        <w:tblInd w:w="0" w:type="dxa"/>
        <w:tblLayout w:type="fixed"/>
        <w:tblCellMar>
          <w:top w:w="0" w:type="dxa"/>
          <w:left w:w="0" w:type="dxa"/>
          <w:bottom w:w="0" w:type="dxa"/>
          <w:right w:w="0" w:type="dxa"/>
        </w:tblCellMar>
      </w:tblPr>
      <w:tblGrid>
        <w:gridCol w:w="2555"/>
        <w:gridCol w:w="60"/>
        <w:gridCol w:w="75"/>
      </w:tblGrid>
      <w:tr>
        <w:trPr/>
        <w:tc>
          <w:tcPr>
            <w:tcW w:w="255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Address:</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Social security or tax id. #:</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and irrevocably appoints:</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agent to transfer the within Note on the books of the Company. The agent may substitute another to act for him/her.</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470"/>
        <w:gridCol w:w="60"/>
        <w:gridCol w:w="60"/>
        <w:gridCol w:w="194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Holder)</w:t>
            </w:r>
          </w:p>
        </w:tc>
      </w:tr>
    </w:tbl>
    <w:p>
      <w:pPr>
        <w:pStyle w:val="TextBody"/>
        <w:bidi w:val="0"/>
        <w:spacing w:before="0" w:after="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75"/>
        <w:gridCol w:w="3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Medallion Program</w:t>
            </w:r>
          </w:p>
        </w:tc>
      </w:tr>
    </w:tbl>
    <w:p>
      <w:pPr>
        <w:pStyle w:val="TextBody"/>
        <w:bidi w:val="0"/>
        <w:spacing w:before="0" w:after="0"/>
        <w:jc w:val="center"/>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Must be an Authorized Denomination.</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9" w:name="ex5-1.htm"/>
      <w:bookmarkStart w:id="30" w:name="ksex51"/>
      <w:bookmarkEnd w:id="29"/>
      <w:bookmarkEnd w:id="3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190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0"/>
                    <a:stretch>
                      <a:fillRect/>
                    </a:stretch>
                  </pic:blipFill>
                  <pic:spPr bwMode="auto">
                    <a:xfrm>
                      <a:off x="0" y="0"/>
                      <a:ext cx="7620000" cy="1190625"/>
                    </a:xfrm>
                    <a:prstGeom prst="rect">
                      <a:avLst/>
                    </a:prstGeom>
                  </pic:spPr>
                </pic:pic>
              </a:graphicData>
            </a:graphic>
          </wp:inline>
        </w:drawing>
      </w:r>
      <w:r>
        <w:rPr>
          <w:caps w:val="false"/>
          <w:smallCaps w:val="false"/>
        </w:rPr>
        <w:t> </w:t>
      </w:r>
    </w:p>
    <w:tbl>
      <w:tblPr>
        <w:tblW w:w="3395" w:type="dxa"/>
        <w:jc w:val="left"/>
        <w:tblInd w:w="0" w:type="dxa"/>
        <w:tblLayout w:type="fixed"/>
        <w:tblCellMar>
          <w:top w:w="0" w:type="dxa"/>
          <w:left w:w="0" w:type="dxa"/>
          <w:bottom w:w="0" w:type="dxa"/>
          <w:right w:w="0" w:type="dxa"/>
        </w:tblCellMar>
      </w:tblPr>
      <w:tblGrid>
        <w:gridCol w:w="75"/>
        <w:gridCol w:w="60"/>
        <w:gridCol w:w="60"/>
        <w:gridCol w:w="60"/>
        <w:gridCol w:w="3140"/>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Faegre Drinker Biddle &amp; Reath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Wells Fargo Center</w:t>
              <w:br/>
              <w:t>90 S. Seventh Street</w:t>
              <w:br/>
              <w:t>Minneapolis, Minnesota 55402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+1 612 766 7000 main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+1 612 766 1600 fax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 Campus Drive, Suite 140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 55441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counsel to Celcuity Inc., a Delaware corporation (the “Company”), </w:t>
      </w:r>
      <w:r>
        <w:rPr>
          <w:rFonts w:ascii="Times New Roman;Times;Serif" w:hAnsi="Times New Roman;Times;Serif"/>
          <w:b w:val="false"/>
          <w:i w:val="false"/>
          <w:caps w:val="false"/>
          <w:smallCaps w:val="false"/>
          <w:sz w:val="20"/>
          <w:shd w:fill="FFFFFF" w:val="clear"/>
        </w:rPr>
        <w:t>in connection with the issuance and sale by the Company of $575,000,000 aggregate principal amount of 0.250% Convertible Senior Notes due 2032 (the “Notes”), convertible, at the Company’s election, into cash, common stock, par value $0.001 per share, of the Company (the “Common Stock”) or a combination of cash and Common Stock. The Notes are being offered pursuant to the Registration Statement on Form S-3 (File No. 333-292646) filed by the Company with the Securities and Exchange Commission (the “Commission”) under the Securities Act of 1933, as amended (the “Act”), on January 9, 2026 (as so filed, the “Registration Statement”), the base prospectus, dated January 9, 2026, included in the Registration Statement (the “Base Prospectus”), the preliminary prospectus supplement, dated June 3, 2026, filed with the Commission pursuant to Rule 424(b) under the Act (together with the Base Prospectus, the “Preliminary Prospectus Supplement”) and the final prospectus supplement, dated June 3, 2026, filed with the Commission pursuant to Rule 424(b) under the Act (together with the Base Prospectus, the “Prospectus”). The Notes are being issued pursuant to, and are governed by, an indenture (the “Base Indenture”), dated as of August 1, 2025, between the Company and U.S. Bank Trust Company, National Association, as trustee (the “Trustee”), as supplemented by a second supplemental indenture (the “Supplemental Indenture,” and the Base Indenture, as supplemented by the Supplemental Indenture, the “Indenture”), dated as of June 8, 2026, between the Company and the Trustee, and are being sold pursuant to an underwriting agreement, dated June 3, 2026, by and among Jefferies LLC, J.P. Morgan Securities LLC, TD Securities (USA) LLC and Guggenheim Securities, LLC</w:t>
      </w:r>
      <w:r>
        <w:rPr>
          <w:rFonts w:ascii="Times New Roman;Times;Serif" w:hAnsi="Times New Roman;Times;Serif"/>
          <w:b w:val="false"/>
          <w:i w:val="false"/>
          <w:caps w:val="false"/>
          <w:smallCaps w:val="false"/>
          <w:sz w:val="20"/>
        </w:rPr>
        <w:t xml:space="preserve"> as the representatives </w:t>
      </w:r>
      <w:r>
        <w:rPr>
          <w:rFonts w:ascii="Times New Roman;Times;Serif" w:hAnsi="Times New Roman;Times;Serif"/>
          <w:b w:val="false"/>
          <w:i w:val="false"/>
          <w:caps w:val="false"/>
          <w:smallCaps w:val="false"/>
          <w:sz w:val="20"/>
          <w:shd w:fill="FFFFFF" w:val="clear"/>
        </w:rPr>
        <w:t>of the several underwriters listed on Schedule A thereto, and the Company (the “Underwriting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opinion letter is being delivered in accordance with the requirements of Item 601(b)(5)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rendering the opinions expressed herein, we have examined or are otherwise familiar with the </w:t>
      </w:r>
      <w:r>
        <w:rPr>
          <w:rFonts w:ascii="Times New Roman;Times;Serif" w:hAnsi="Times New Roman;Times;Serif"/>
          <w:b w:val="false"/>
          <w:i w:val="false"/>
          <w:caps w:val="false"/>
          <w:smallCaps w:val="false"/>
          <w:sz w:val="20"/>
        </w:rPr>
        <w:t>Certificate of Incorporation of the Company, as amended to the date hereof, and the Bylaws of the Company</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 xml:space="preserve">and we have reviewed originals, or copies certified or otherwise authenticated to our satisfaction, of </w:t>
      </w:r>
      <w:r>
        <w:rPr>
          <w:rFonts w:ascii="Times New Roman;Times;Serif" w:hAnsi="Times New Roman;Times;Serif"/>
          <w:b w:val="false"/>
          <w:i w:val="false"/>
          <w:caps w:val="false"/>
          <w:smallCaps w:val="false"/>
          <w:sz w:val="20"/>
          <w:shd w:fill="FFFFFF" w:val="clear"/>
        </w:rPr>
        <w:t>(i) the Registration Statement, (ii) the Preliminary Prospectus Supplement, (iii) the Prospectus, (iv) the Underwriting Agreement, (v) the Indenture, (vi) executed copies of the global notes evidencing the Notes and (vii) the corporate actions taken by the Company in connection with the authorization of the Underwriting Agreement, the Notes, the Indenture and the shares of Common Stock issuable upon conversion of the Notes. We have also examined originals, or copies certified or otherwise authenticated to our satisfaction, of such corporate records of the Company and other instruments, certificates of public officials and representatives of the Company, and other documents as we have deemed necessary as a basis for the opinions hereinafter expressed and have made such examination of statutes and decisions and reviewed such questions of law as we have considered necessary or appropriate for the purposes of this opinion letter.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265" w:type="dxa"/>
        <w:jc w:val="left"/>
        <w:tblInd w:w="0" w:type="dxa"/>
        <w:tblLayout w:type="fixed"/>
        <w:tblCellMar>
          <w:top w:w="0" w:type="dxa"/>
          <w:left w:w="0" w:type="dxa"/>
          <w:bottom w:w="0" w:type="dxa"/>
          <w:right w:w="0" w:type="dxa"/>
        </w:tblCellMar>
      </w:tblPr>
      <w:tblGrid>
        <w:gridCol w:w="1265"/>
      </w:tblGrid>
      <w:tr>
        <w:trPr/>
        <w:tc>
          <w:tcPr>
            <w:tcW w:w="1265" w:type="dxa"/>
            <w:tcBorders/>
            <w:vAlign w:val="center"/>
          </w:tcPr>
          <w:p>
            <w:pPr>
              <w:pStyle w:val="TableContents"/>
              <w:bidi w:val="0"/>
              <w:spacing w:before="0" w:after="283"/>
              <w:jc w:val="left"/>
              <w:rPr/>
            </w:pPr>
            <w:r>
              <w:rPr/>
              <w:t>June 8, 2026</w:t>
              <w:br/>
              <w:t>Page 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and subject to the foregoing and to the other assumptions, qualifications and limitations set forth herein, we are of the opinion that</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763"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0"/>
        <w:gridCol w:w="10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Notes have been duly authorized by all necessary corporate action on the part of the Company and have been duly executed by the Company and, when authenticated by the Trustee in accordance with the provisions of the Indenture, and delivered to and paid for by the Underwriters pursuant to the terms of the Underwriting Agreement, the Notes will constitute valid and legally binding obligations of the Company, enforceable against the Company in accordance with their terms, except as the same may be limited by the effect of bankruptcy, insolvency, receivership, voidable transactions, fraudulent conveyance, fraudulent transfer, reorganization, moratorium, assignment for the benefit of creditors and other similar laws now or hereafter in effect relating to or affecting creditors’ rights generally and equitable principles of general applicability (regardless of whether enforceability is considered in a proceeding in equity or at law) and except further as enforcement thereof may be limited by any governmental authority that limits, delays or prohibits the making of payments outside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All necessary action on the part of the Company has been taken to authorize the issuance of the shares of Common Stock of the Company initially issuable upon conversion of the Notes (the “Underlying Shares”), and, (i) when any Underlying Shares are issued by the Company upon due and proper conversion of the Notes by the applicable holder thereof in accordance with the terms of the Notes and the Indenture, and (ii) </w:t>
            </w:r>
            <w:r>
              <w:rPr>
                <w:rFonts w:ascii="Times New Roman;Times;Serif" w:hAnsi="Times New Roman;Times;Serif"/>
                <w:b w:val="false"/>
                <w:i w:val="false"/>
                <w:caps w:val="false"/>
                <w:smallCaps w:val="false"/>
                <w:sz w:val="20"/>
              </w:rPr>
              <w:t xml:space="preserve">upon the due registration of issuance and constructive delivery through book entry of such Underlying Shares by the transfer agent and registrar therefor, then, upon the happening of such events, such Underlying Shares </w:t>
            </w:r>
            <w:r>
              <w:rPr>
                <w:rFonts w:ascii="Times New Roman;Times;Serif" w:hAnsi="Times New Roman;Times;Serif"/>
                <w:b w:val="false"/>
                <w:i w:val="false"/>
                <w:caps w:val="false"/>
                <w:smallCaps w:val="false"/>
                <w:sz w:val="20"/>
                <w:shd w:fill="FFFFFF" w:val="clear"/>
              </w:rPr>
              <w:t>will be validly issued, fully paid and non-assessable.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have relied, as to certain relevant facts, upon representations made by the Company in the Underwriting Agreement, the Indenture and the Notes, upon the assumptions set forth herein, and upon certificates of public officials and officers of the Company reasonably believed by us to be appropriate sources of information, as to the accuracy of such factual matters, in each case without independent verification thereof or other investigation. We have also relied, without investigation, upon the following assumptions: (i) natural persons acting on behalf of the Company have sufficient legal capacity to enter into and perform, on behalf of the Company, the transaction in question and to carry out their role in the transaction; (ii) each party to agreements or instruments relevant hereto (other than the Company) has satisfied those legal requirements that are applicable to it to the extent necessary to make such agreements or instruments enforceable against it; (iii) each party to or having rights under agreements or instruments relevant hereto (other than the Company) has complied with all legal requirements pertaining to its status (such as legal investment laws, foreign qualification statutes and business activity reporting requirements) as such status relates to its rights to enforce such agreements or instruments against the Company; (iv) each document submitted to us for review is accurate and complete, each such document that is an original is authentic, each such document that is a copy conforms to an authentic original and all signatures on each such document, including electronic signatures, are genuine; (v) all statutes, judicial and administrative decisions and rules and regulations of governmental agencies, constituting the law of the opining jurisdictions, are publicly available to lawyers practicing in the relevant jurisdiction; (vi) all relevant statutes, rules, regulations or agency actions are constitutional and valid unless a reported decision in the relevant jurisdiction has specifically addressed but not resolved, or has established, its unconstitutionality or invalidity; (vii) there are no agreements or understandings among the parties, written or oral, and there is no usage of trade or course of dealing among the parties that would, in either case, define, supplement or qualify the agreements or instruments relevant hereto; and (viii) </w:t>
      </w:r>
      <w:r>
        <w:rPr>
          <w:rFonts w:ascii="Times New Roman;Times;Serif" w:hAnsi="Times New Roman;Times;Serif"/>
          <w:b w:val="false"/>
          <w:i w:val="false"/>
          <w:caps w:val="false"/>
          <w:smallCaps w:val="false"/>
          <w:sz w:val="20"/>
        </w:rPr>
        <w:t>the Company will comply with all applicable notice requirements regarding uncertificated shares provided in the General Corporation Law of the State of Delaware</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Without limiting any other qualifications set forth herein, the opinion expressed herein regarding the enforceability of the Notes is subject to the effect of generally applicable laws that (i) provide for the enforcement of oral waivers or modifications where a material change of position in reliance thereon has occurred or provide that a course of performance may operate as a waiver; (ii) limit the enforcement of provisions of instruments or agreements that purport to require waiver of the obligations of good faith, fair dealing, diligence and reasonableness; (iii) limit the availability of a remedy under certain circumstances where another remedy has been elected; (iv) limit the enforceability of provisions releasing, exculpating or exempting a party from, or requiring indemnification of or contribution to a party for, liability for its own action or inaction, to the extent the action or inaction involves negligence, recklessness, willful misconduct or unlawful conduct or insofar as such provisions otherwise contravene public policy; (v) may, where less than all of an instrument or agreement may be unenforceable, limit the enforceability of the balance of the instrument or agreement to circumstances in which the unenforceable portion is not an essential part of the agreed exchange; (vi) govern and afford judicial discretion regarding the determination of damages and entitlement to attorneys’ fees and other costs; (vii) may permit a party who has materially failed to render or offer performance required by an instrument or agreement to cure that failure unless either permitting a cure would unreasonably hinder the aggrieved party from making substitute arrangements for performance or it is important under the circumstances to the aggrieved party that performance occur by the date stated in the instrument or agreement; (viii) may limit the enforceability of provisions for the payment of premiums upon mandatory prepayment to the extent any such payment constitutes, or is deemed to constitute, a penalty or forfeiture; (ix) may require mitigation of damages; (x) provide a time limitation after which a remedy may not be enforced (i.e., statutes of limitation); and (xi) may require that a claim with respect to any debt securities that are payable other than in U.S. dollars (or a foreign currency judgment in respect of such claim) be converted into U.S. dollars at a rate of exchange prevailing on a date determined pursuant to applicable law.</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265" w:type="dxa"/>
        <w:jc w:val="left"/>
        <w:tblInd w:w="0" w:type="dxa"/>
        <w:tblLayout w:type="fixed"/>
        <w:tblCellMar>
          <w:top w:w="0" w:type="dxa"/>
          <w:left w:w="0" w:type="dxa"/>
          <w:bottom w:w="0" w:type="dxa"/>
          <w:right w:w="0" w:type="dxa"/>
        </w:tblCellMar>
      </w:tblPr>
      <w:tblGrid>
        <w:gridCol w:w="1265"/>
      </w:tblGrid>
      <w:tr>
        <w:trPr/>
        <w:tc>
          <w:tcPr>
            <w:tcW w:w="1265" w:type="dxa"/>
            <w:tcBorders/>
            <w:vAlign w:val="center"/>
          </w:tcPr>
          <w:p>
            <w:pPr>
              <w:pStyle w:val="TableContents"/>
              <w:bidi w:val="0"/>
              <w:spacing w:before="0" w:after="283"/>
              <w:jc w:val="left"/>
              <w:rPr/>
            </w:pPr>
            <w:r>
              <w:rPr/>
              <w:t>June 8, 2026</w:t>
              <w:br/>
              <w:t>Page 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express no opinion as to the enforceability or effect in the Notes of (i) any agreement to submit to the jurisdiction of any particular court or other governmental authority (either as to personal jurisdiction or subject matter jurisdiction) (except to the extent such agreement would be enforceable based on Section 5-1402 of the General Obligations Law of the State of New York), any provision restricting access to courts (including without limitation agreements to arbitrate disputes), any waivers of the right to jury trial, any waivers of service of process requirements that would otherwise be applicable, any provision relating to evidentiary standards, any agreement that a judgment rendered by a court in one jurisdiction may be enforced in another jurisdiction or any provision otherwise affecting the jurisdiction or venue of courts; (ii) any provision waiving or otherwise modifying legal, statutory or equitable defenses or other procedural, judicial or substantive rights; or (iii) any provision that authorizes one party to act as attorney-in-fact for another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With respect to our opinion regarding the Underlying Shares, we express no opinion to the extent that, notwithstanding the Company’s current reservation of the maximum number of Underlying Shares as of the date hereof, future issuances of securities of the Company, including the Underlying Shares, and/or antidilution adjustments to outstanding securities of the Company, including the Notes, may cause the Notes to be convertible for more shares of Common Stock than the number that then remain authorized but unissued.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opinions set forth herein are limited to the laws of the State of New York and the General Corporation Law of the State of Delaware, and we express no opinion as to the effect on the matters covered by our opinions of any other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as of the date first written above, and we assume no responsibility for updating this opinion letter or the opinions set forth herein to take into account any event, action, interpretation or change in law or facts occurring subsequent to the date hereof that may affect the validity of such opinions. This opinion letter is expressly limited to the matters set forth above, and we render no opinion, whether by implication or otherwise, as to any other matters relating to the Company, the Notes or the Underlying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We hereby consent to the filing of this opinion letter as an exhibit to the Current Report on Form 8-K of the Company filed with the Commission on the date hereof and thereby incorporated by reference into the Registration Statement and to being named in the Prospectus included therein under the caption “Legal Matters” with respect to matters stated therein. In giving such consent, we do not thereby admit that we are in the category of persons whose consent is required under Section 7 of the Act or the rules and regulations of the Commission thereunder</w:t>
      </w:r>
      <w:r>
        <w:rPr>
          <w:rFonts w:ascii="Times New Roman;Times;Serif" w:hAnsi="Times New Roman;Times;Serif"/>
          <w:b w:val="false"/>
          <w:i w:val="false"/>
          <w:caps w:val="false"/>
          <w:smallCaps w:val="false"/>
          <w:sz w:val="20"/>
        </w:rPr>
        <w:t xml:space="preserve"> with respect to any part of the Registration Statement, including this opinion letter</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20"/>
        <w:jc w:val="both"/>
        <w:rPr>
          <w:caps w:val="false"/>
          <w:smallCaps w:val="false"/>
        </w:rPr>
      </w:pPr>
      <w:r>
        <w:rPr>
          <w:caps w:val="false"/>
          <w:smallCaps w:val="false"/>
        </w:rPr>
        <w:t> </w:t>
      </w:r>
    </w:p>
    <w:tbl>
      <w:tblPr>
        <w:tblW w:w="3845" w:type="dxa"/>
        <w:jc w:val="left"/>
        <w:tblInd w:w="0" w:type="dxa"/>
        <w:tblLayout w:type="fixed"/>
        <w:tblCellMar>
          <w:top w:w="0" w:type="dxa"/>
          <w:left w:w="0" w:type="dxa"/>
          <w:bottom w:w="0" w:type="dxa"/>
          <w:right w:w="0" w:type="dxa"/>
        </w:tblCellMar>
      </w:tblPr>
      <w:tblGrid>
        <w:gridCol w:w="135"/>
        <w:gridCol w:w="3710"/>
      </w:tblGrid>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Faegre Drinker Biddle &amp; Reath LLP</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Faegre Drinker Biddle &amp; Reath LLP</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bookmarkStart w:id="31" w:name="ex99-1.htm"/>
      <w:bookmarkStart w:id="32" w:name="ksex991"/>
      <w:bookmarkEnd w:id="31"/>
      <w:bookmarkEnd w:id="3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Celcuity Inc. Announces Public Offering of</w:t>
        <w:br/>
        <w:t>Convertible Senior Notes Due 2032</w:t>
      </w:r>
    </w:p>
    <w:p>
      <w:pPr>
        <w:pStyle w:val="TextBody"/>
        <w:bidi w:val="0"/>
        <w:spacing w:before="0" w:after="0"/>
        <w:ind w:left="0" w:right="0" w:hanging="0"/>
        <w:jc w:val="center"/>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MINNEAPOLIS, June 3, 2026 – </w:t>
      </w:r>
      <w:r>
        <w:rPr>
          <w:rFonts w:ascii="Times New Roman;Times;Serif" w:hAnsi="Times New Roman;Times;Serif"/>
          <w:b w:val="false"/>
          <w:i w:val="false"/>
          <w:caps w:val="false"/>
          <w:smallCaps w:val="false"/>
          <w:sz w:val="20"/>
        </w:rPr>
        <w:t>Celcuity Inc. (Nasdaq: CELC) (“Celcuity” or the “Company”), a clinical-stage biotechnology company focused on the development of targeted therapies for the treatment of multiple solid tumor indications, today announced a proposed underwritten public offering of $400,000,000 aggregate principal amount of its convertible senior notes due 2032 (the “Convertible Notes”).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grant the underwriters of the offering a 30-day option to purchase up to an additional $60,000,000 aggregate principal amount of Convertible Notes, solely to cover over-allotments, if any.</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will be general, unsecured, senior obligations of the Company and interest will be payable semi-annually in arrears. The Convertible Notes will mature on August 1, 2032, unless earlier converted, redeemed or repurchased by the Company. Upon conversion, the Company will pay or deliver, as the case may be, cash, shares of the Company’s common stock (the “Common Stock”) or a combination of cash and shares of Common Stock, at its election. The interest rate, conversion rate, offering price and other terms are to be determined upon the pricing of the Convertible Notes.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the offering to repay in full all outstanding obligations under its amended and restated loan agreement with Oxford Finance, LLC, as collateral agent, and the lenders party thereto, and the remainder for working capital and general corporate purposes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General corporate purposes may include clinical trial expenditures, commercial launch expenditures, commercialization expenditures, research and development expenditures, capital expenditures, expansion of business development activities and other general corporate purposes. The Company may also use a portion of the proceeds for the potential acquisition of businesses, technologies, and products, although we have no current binding understandings, commitments, or agreements to do so.</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offering is subject to market and other conditions, and there can be no assurance as to whether or when the offering may be completed, or as to the actual size or terms of the offering.</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J.P. Morgan, TD Cowen and Guggenheim Securities are acting as joint book-running managers for the offering. LifeSci Capital is acting as lead manager for the offering. Craig-Hallum and Wolfe | Nomura Alliance are acting as co-managers for the offering.</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filed a registration statement (including a prospectus) with the Securities and Exchange Commission (the “SEC”) as well as a preliminary prospectus supplement with respect to the offering to which this communication relates. Before you invest, you should read the preliminary prospectus supplement and the prospectus in that registration statement and other documents the Company has filed with the SEC for more complete information about the Company and the offering. You may obtain these documents by visiting EDGAR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Alternatively, the Company, any underwriter or any dealer participating in the offering will arrange to send you the preliminary prospectus supplement (or, when available, the final prospectus supplement) and the accompanying prospectus upon request to: Jefferies LLC, Attn: Equity Syndicate Prospectus Department, 520 Madison Avenue, New York, NY 10022, by telephone at (877) 821-7388, or by email at prospectus_department@jefferies.com; J.P. Morgan Securities LLC, Attention: Broadridge Financial Solutions, 1155 Long Island Avenue, Edgewood, NY 11717, or by email at prospectus-eq_fi@jpmchase.com and postsalemanualrequests@broadridge.com; TD Securities (USA) LLC, c/o Broadridge Financial Solutions, 1155 Long Island Avenue, Edgewood, NY 11717 or by email at TDManualrequest@broadridge.com; and Guggenheim Securities, LLC, Attention: Equity Syndicate Department, 330 Madison Avenue, New York, NY 10017, by telephone at (212) 518-9544 or by email at GSEquityProspectusDelivery@guggenheimpartners.com.</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a solicitation of an offer to buy the Convertible Notes, any shares of Common Stock issuable upon conversion of the Convertible Notes or any other securities and shall not constitute an offer, solicitation or sale in any jurisdiction in which such an offer, solicitation or sale would be unlawful prior to the registration and qualification under the securities laws of such state or jurisdiction.</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pStyle w:val="TextBody"/>
        <w:shd w:fill="FEFEFE"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CELCUITY</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Celcuity is a clinical-stage biotechnology company focused on the development of targeted therapies for the treatment of multiple solid tumor indications. The Company’s lead therapeutic candidate is gedatolisib, a kinase inhibitor of the PI3K/AKT/mTOR (“PAM”) pathway that binds to all class I PI3K isoforms and the mTOR complexes, mTORC1 and mTORC2. By targeting all class I PI3K isoforms and mTORC1/2, gedatolisib induces comprehensive inhibition of the PAM pathway. Its mechanism of action and pharmacokinetic properties are differentiated from other currently approved and investigational therapies that target PI3Kα, AKT, or mTORC1 alone or together. The Company’s Phase 3 clinical trial, VIKTORIA-1, evaluating gedatolisib in combination with fulvestrant with or without palbociclib in patients with hormone receptor positive (“HR+”), human epidermal growth factor receptor 2 negative (“HER2-”) locally advanced or metastatic breast cancer (“ABC”), has reported detailed results for both Study 1, which evaluated patients with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wild-type (“WT”) tumors, and Study 2, which evaluated patients with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mutant-type (“MT”) tumors. The Company’s Phase 3 clinical trial, VIKTORIA-2, is ongoing and incorporates two independent studies, Study 1 and Study 2, evaluating two separate cohorts of patients with ABC who are treatment-naive in the advanced setting. Study 1 is evaluating gedatolisib combined with palbociclib and fulvestrant as first-line treatment for patients with endocrine-resistant HR+/HER2- ABC. Study 2 is evaluating gedatolisib combined with palbociclib and letrozole as first-line treatment for patients with endocrine-sensitive HR+/HER2- ABC. The Company’s Phase 1b/2 clinical trial, CELC-G-201, evaluating gedatolisib in combination with darolutamide in patients with metastatic castration-resistant prostate cancer, is ongoing. The Company is headquartered in Minneapolis, Minnesota.</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constitute “forward-looking statements” within the meaning of the Private Securities Litigation Reform Act of 1995 including statements relating to the offering and the proposed size and terms thereof; the Company’s ability to complete the offering on the anticipated timeline or at all and the anticipated use of the net proceeds therefrom; the potential therapeutic benefits of gedatolisib; the size, design and timing of the Company’s clinical trials; the Company’s interpretation of clinical trial data; the status and timing of the U.S. Food and Drug Administration’s (the “FDA”) review of the Company’s New Drug Application (“NDA”) for gedatolisib, including the Prescription Drug User Fee Act (“PDUFA”) goal date assigned by the FDA; the ability of the Company’s data to support the filing of supplemental New Drug Application (“sNDA”) with the FDA and comparable filings with other regulatory authorities outside the U.S.; the market opportunity for gedatolisib; the Company’s expectations regarding the timing of and its ability to obtain FDA approval to commercialize gedatolisib; the Company’s strategy, marketing and commercialization plans, including the benefits of strategic decisions regarding studies and trials; other expectations with respect to gedatolisib, including subcutaneous formulations to support potential future indications for gedatolisib regimens; the Company’s anticipated use of cash; and the strength of the Company’s balance sheet. Words such as, but not limited to, “look forward to,” “believe,” “expect,” “anticipate,” “estimate,” “intend,” “confidence,” “encouraged,” “potential,” “plan,” “targets,” “likely,” “may,” “will,” “would,” “should” and “could,” and similar expressions or words identify forward-looking statements. The forward-looking statements included in this press release are based on management’s current expectations and beliefs which are subject to a number of risks, uncertainties and factors, including that the Company’s topline clinical results are based on an ongoing analysis of key efficacy and safety data, and such data may change following a more comprehensive review of the data related to the clinical trial; unforeseen delays in the Company’s clinical trials or the FDA’s review of the Company’s NDA for gedatolisib; the Company’s ability to obtain and maintain regulatory approvals to commercialize gedatolisib, and the market acceptance of gedatolisib; the development of therapies and tools competitive with gedatolisib; and the Company’s ability to access capital on favorable terms. In addition, all forward-looking statements are subject to other risks detailed in the Company’s Annual Report on Form 10-K for the year ended December 31, 2025, and in the Company’s Quarterly Report on Form 10-Q for the quarter ended March 31, 2026, as such risks may be updated in the Company’s subsequent filings with the Securities and Exchange Commission. You are cautioned not to place undue reliance on these forward-looking statements, which speak only as of the date hereof. All forward-looking statements are qualified in their entirety by these cautionary statements, and the Company undertakes no obligation to revise or update this press release to reflect events or circumstances after the date hereof.</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Sullivan, bsullivan@celcuity.com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Vicky Hahne, vhahne@celcuity.com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 392-0123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Jodi Sievers, jsievers@celcuity.com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494-9924</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33" w:name="ex99-2.htm"/>
      <w:bookmarkStart w:id="34" w:name="ksex992"/>
      <w:bookmarkEnd w:id="33"/>
      <w:bookmarkEnd w:id="3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Celcuity Inc. Announces Pricing of Upsized Public Offering of</w:t>
        <w:br/>
        <w:t>0.250% Convertible Senior Notes Due 2032</w:t>
      </w:r>
    </w:p>
    <w:p>
      <w:pPr>
        <w:pStyle w:val="TextBody"/>
        <w:bidi w:val="0"/>
        <w:spacing w:before="0" w:after="0"/>
        <w:ind w:left="0" w:right="0" w:hanging="0"/>
        <w:jc w:val="center"/>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MINNEAPOLIS, June 3, 2026 – </w:t>
      </w:r>
      <w:r>
        <w:rPr>
          <w:rFonts w:ascii="Times New Roman;Times;Serif" w:hAnsi="Times New Roman;Times;Serif"/>
          <w:b w:val="false"/>
          <w:i w:val="false"/>
          <w:caps w:val="false"/>
          <w:smallCaps w:val="false"/>
          <w:sz w:val="20"/>
        </w:rPr>
        <w:t>Celcuity Inc. (Nasdaq: CELC) (“Celcuity” or the “Company”), a clinical-stage biotechnology company focused on the development of targeted therapies for the treatment of multiple solid tumor indications, today announced the pricing of its upsized underwritten public offering of $500,000,000 aggregate principal amount of its 0.250% convertible senior notes due 2032 (the “Convertible Notes”). The aggregate principal amount of the offering was increased from the previously announced offering size of $400,000,000.</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granted the underwriters of the offering a 30-day option to purchase up to an additional $75,000,000 aggregate principal amount of the Convertible Notes, solely to cover over-allotments. The offering is expected to close on June 8, 2026, subject to satisfaction of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will be general, unsecured, senior obligations of the Company. The Convertible Notes will accrue interest payable semi-annually in arrears on February 1 and August 1 of each year, beginning on February 1, 2027, at a rate equal to 0.250% per year. The Convertible Notes will mature on August 1, 2032, unless earlier converted, redeemed or repurchased by the Company. The Convertible Notes will be convertible at the option of the holders if certain conditions are met and during certain periods, based on an initial conversion rate of 8.0302 shares of the Company’s common stock (the “Common Stock”) per $1,000 principal amount of the Convertible Notes, which is equivalent to an initial conversion price of approximately $124.53 per share of Common Stock and represents a conversion premium of approximately 40.0% above the last reported sale price of the Common Stock on June 3, 2026. The Company will settle conversions of the Convertible Notes by paying or delivering, as applicable, cash, common stock or a combination of cash and shares of Common Stock, at the Company’s election, based on the applicable conversion rate. If a “make-whole fundamental change” (as defined in the indenture that will govern the Convertible Notes) occurs, then the Company will in certain circumstances increase the conversion rate for a specified period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will be redeemable, in whole or in part (subject to certain limitations), at the Company’s option at any time, and from time to time, on a redemption date on or after August 6, 2029 and on or before the 31st scheduled trading day immediately before the maturity date, at a cash redemption price equal to the principal amount of the Convertible Notes to be redeemed, plus accrued and unpaid interest, if any, to, but excluding, the redemption date, but only if the last reported sale price per share of the Common Stock exceeds 130% of the conversion price for the Convertible Notes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“fundamental change” (as defined in the indenture that will govern the Convertible Notes) occurs, then, subject to certain exceptions, noteholders may require the Company to repurchase their Convertible Notes at a cash repurchase price equal to the principal amount of the Convertible Notes to be repurchased, plus accrued and unpaid interest, if any, to, but excluding, the fundamental change repurchase date.</w:t>
      </w:r>
    </w:p>
    <w:p>
      <w:pPr>
        <w:pStyle w:val="TextBody"/>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that the net proceeds from the offering will be approximately $484.3 million (or approximately $557.0 million if the underwriters of the offering exercise their over-allotment option in full), after deducting underwriting discounts and commissions and the Company’s estimated offering expenses. The Company intends to use the net proceeds from the offering to repay in full all outstanding obligations under its amended and restated loan agreement with Oxford Finance, LLC, as collateral agent, and the lenders party thereto, and the remainder for working capital and general corporate purposes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General corporate purposes may include clinical trial expenditures, commercial launch expenditures, commercialization expenditures, research and development expenditures, capital expenditures, expansion of business development activities and other general corporate purposes. The Company may also use a portion of the proceeds for the potential acquisition of businesses, technologies, and products, although it has no current binding understandings, commitments, or agreements to do so.</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J.P. Morgan, TD Cowen and Guggenheim Securities are acting as joint book-running managers for the offering. LifeSci Capital is acting as lead manager for the offering. Craig-Hallum and Wolfe | Nomura Alliance are acting as co-managers for the offering.</w:t>
      </w:r>
    </w:p>
    <w:p>
      <w:pPr>
        <w:pStyle w:val="TextBody"/>
        <w:shd w:fill="FEFEFE"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filed a registration statement (including a prospectus) with the Securities and Exchange Commission (the “SEC”) as well as a preliminary prospectus supplement with respect to the offering to which this communication relates. Before you invest, you should read the preliminary prospectus supplement and the prospectus in that registration statement and other documents the Company has filed with the SEC for more complete information about the Company and the offering. You may obtain these documents by visiting EDGAR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Alternatively, the Company, any underwriter or any dealer participating in the offering will arrange to send you the preliminary prospectus supplement (or, when available, the final prospectus supplement) and the accompanying prospectus upon request to: Jefferies LLC, Attn: Equity Syndicate Prospectus Department, 520 Madison Avenue, New York, NY 10022, by telephone at (877) 821-7388, or by email at prospectus_department@jefferies.com; J.P. Morgan Securities LLC, Attention: Broadridge Financial Solutions, 1155 Long Island Avenue, Edgewood, NY 11717, or by email at prospectus-eq_fi@jpmchase.com and postsalemanualrequests@broadridge.com; TD Securities (USA) LLC, c/o Broadridge Financial Solutions, 1155 Long Island Avenue, Edgewood, NY 11717 or by email at TDManualrequest@broadridge.com; and Guggenheim Securities, LLC, Attention: Equity Syndicate Department, 330 Madison Avenue, New York, NY 10017, by telephone at (212) 518-9544 or by email at GSEquityProspectusDelivery@guggenheimpartners.com.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a solicitation of an offer to buy the Convertible Notes, any shares of Common Stock issuable upon conversion of the Convertible Notes or any other securities and shall not constitute an offer, solicitation or sale in any jurisdiction in which such an offer, solicitation or sale would be unlawful prior to the registration and qualification under the securities laws of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CELCUITY</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Celcuity is a clinical-stage biotechnology company focused on the development of targeted therapies for the treatment of multiple solid tumor indications. The Company’s lead therapeutic candidate is gedatolisib, a kinase inhibitor of the PI3K/AKT/mTOR (“PAM”) pathway that binds to all class I PI3K isoforms and the mTOR complexes, mTORC1 and mTORC2. By targeting all class I PI3K isoforms and mTORC1/2, gedatolisib induces comprehensive inhibition of the PAM pathway. Its mechanism of action and pharmacokinetic properties are differentiated from other currently approved and investigational therapies that target PI3Kα, AKT, or mTORC1 alone or together. The Company’s Phase 3 clinical trial, VIKTORIA-1, evaluating gedatolisib in combination with fulvestrant with or without palbociclib in patients with hormone receptor positive (“HR+”), human epidermal growth factor receptor 2 negative (“HER2-”) locally advanced or metastatic breast cancer (“ABC”), has reported detailed results for both Study 1, which evaluated patients with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wild-type (“WT”) tumors, and Study 2, which evaluated patients with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mutant-type (“MT”) tumors. The Company’s Phase 3 clinical trial, VIKTORIA-2, is ongoing and incorporates two independent studies, Study 1 and Study 2, evaluating two separate cohorts of patients with ABC who are treatment-naive in the advanced setting. Study 1 is evaluating gedatolisib combined with palbociclib and fulvestrant as first-line treatment for patients with endocrine-resistant HR+/HER2- ABC. Study 2 is evaluating gedatolisib combined with palbociclib and letrozole as first-line treatment for patients with endocrine-sensitive HR+/HER2- ABC. The Company’s Phase 1b/2 clinical trial, CELC-G-201, evaluating gedatolisib in combination with darolutamide in patients with metastatic castration-resistant prostate cancer, is ongoing. The Company is headquartered in Minneapolis, Minnesota.</w:t>
      </w:r>
    </w:p>
    <w:p>
      <w:pPr>
        <w:pStyle w:val="TextBody"/>
        <w:shd w:fill="FEFEFE"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constitute “forward-looking statements” within the meaning of the Private Securities Litigation Reform Act of 1995 including statements relating to the offering; the Company’s ability to complete the offering on the anticipated timeline or at all and the expected net proceeds from the offering and the anticipated use of such proceeds; the potential therapeutic benefits of gedatolisib; the size, design and timing of the Company’s clinical trials; the Company’s interpretation of clinical trial data; the status and timing of the U.S. Food and Drug Administration’s (the “FDA”) review of the Company’s New Drug Application (“NDA”) for gedatolisib, including the Prescription Drug User Fee Act (“PDUFA”) goal date assigned by the FDA; the ability of the Company’s data to support the filing of supplemental New Drug Application (“sNDA”) with the FDA and comparable filings with other regulatory authorities outside the U.S.; the market opportunity for gedatolisib; the Company’s expectations regarding the timing of and its ability to obtain FDA approval to commercialize gedatolisib; the Company’s strategy, marketing and commercialization plans, including the benefits of strategic decisions regarding studies and trials; other expectations with respect to gedatolisib, including subcutaneous formulations to support potential future indications for gedatolisib regimens; the Company’s anticipated use of cash; and the strength of the Company’s balance sheet. Words such as, but not limited to, “look forward to,” “believe,” “expect,” “anticipate,” “estimate,” “intend,” “confidence,” “encouraged,” “potential,” “plan,” “targets,” “likely,” “may,” “will,” “would,” “should” and “could,” and similar expressions or words identify forward-looking statements. The forward-looking statements included in this press release are based on management’s current expectations and beliefs which are subject to a number of risks, uncertainties and factors, including that the Company’s topline clinical results are based on an ongoing analysis of key efficacy and safety data, and such data may change following a more comprehensive review of the data related to the clinical trial; unforeseen delays in the Company’s clinical trials or the FDA’s review of the Company’s NDA for gedatolisib; the Company’s ability to obtain and maintain regulatory approvals to commercialize gedatolisib, and the market acceptance of gedatolisib; the development of therapies and tools competitive with gedatolisib; and the Company’s ability to access capital on favorable terms. In addition, all forward-looking statements are subject to other risks detailed in the Company’s Annual Report on Form 10-K for the year ended December 31, 2025, and in the Company’s Quarterly Report on Form 10-Q for the quarter ended March 31, 2026, as such risks may be updated in the Company’s subsequent filings with the Securities and Exchange Commission. You are cautioned not to place undue reliance on these forward-looking statements, which speak only as of the date hereof. All forward-looking statements are qualified in their entirety by these cautionary statements, and the Company undertakes no obligation to revise or update this press release to reflect events or circumstances after the date hereof.</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Sullivan, bsullivan@celcuity.com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Vicky Hahne, vhahne@celcuity.com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 392-0123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Jodi Sievers, jsievers@celcuity.com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494-9924</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3454/000164117225021894/ex4-1.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77506</Words>
  <Characters>407335</Characters>
  <CharactersWithSpaces>485781</CharactersWithSpaces>
  <Paragraphs>5702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