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0001551139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05"/>
        <w:gridCol w:w="3200"/>
      </w:tblGrid>
      <w:tr>
        <w:trPr/>
        <w:tc>
          <w:tcPr>
            <w:tcW w:w="7005" w:type="dxa"/>
            <w:tcBorders/>
            <w:vAlign w:val="center"/>
          </w:tcPr>
          <w:p>
            <w:pPr>
              <w:pStyle w:val="TableContents"/>
              <w:bidi w:val="0"/>
              <w:spacing w:before="0" w:after="283"/>
              <w:jc w:val="left"/>
              <w:rPr/>
            </w:pPr>
            <w:r>
              <w:rPr/>
              <w:t>Name of Issuer</w:t>
            </w:r>
          </w:p>
        </w:tc>
        <w:tc>
          <w:tcPr>
            <w:tcW w:w="3200" w:type="dxa"/>
            <w:tcBorders/>
            <w:vAlign w:val="center"/>
          </w:tcPr>
          <w:p>
            <w:pPr>
              <w:pStyle w:val="TableContents"/>
              <w:bidi w:val="0"/>
              <w:spacing w:before="0" w:after="0"/>
              <w:jc w:val="left"/>
              <w:rPr/>
            </w:pPr>
            <w:r>
              <w:rPr/>
              <w:t>Celcuity Inc.</w:t>
            </w:r>
          </w:p>
        </w:tc>
      </w:tr>
      <w:tr>
        <w:trPr/>
        <w:tc>
          <w:tcPr>
            <w:tcW w:w="7005" w:type="dxa"/>
            <w:tcBorders/>
            <w:vAlign w:val="center"/>
          </w:tcPr>
          <w:p>
            <w:pPr>
              <w:pStyle w:val="TableContents"/>
              <w:bidi w:val="0"/>
              <w:spacing w:before="0" w:after="283"/>
              <w:jc w:val="left"/>
              <w:rPr/>
            </w:pPr>
            <w:r>
              <w:rPr/>
              <w:t>SEC File Number</w:t>
            </w:r>
          </w:p>
        </w:tc>
        <w:tc>
          <w:tcPr>
            <w:tcW w:w="3200" w:type="dxa"/>
            <w:tcBorders/>
            <w:vAlign w:val="center"/>
          </w:tcPr>
          <w:p>
            <w:pPr>
              <w:pStyle w:val="TableContents"/>
              <w:bidi w:val="0"/>
              <w:spacing w:before="0" w:after="0"/>
              <w:jc w:val="left"/>
              <w:rPr/>
            </w:pPr>
            <w:r>
              <w:rPr/>
              <w:t>001-38207</w:t>
            </w:r>
          </w:p>
        </w:tc>
      </w:tr>
      <w:tr>
        <w:trPr/>
        <w:tc>
          <w:tcPr>
            <w:tcW w:w="7005" w:type="dxa"/>
            <w:tcBorders/>
            <w:vAlign w:val="center"/>
          </w:tcPr>
          <w:p>
            <w:pPr>
              <w:pStyle w:val="TableContents"/>
              <w:bidi w:val="0"/>
              <w:spacing w:before="0" w:after="283"/>
              <w:jc w:val="left"/>
              <w:rPr/>
            </w:pPr>
            <w:r>
              <w:rPr/>
              <w:t>Address of Issuer</w:t>
            </w:r>
          </w:p>
        </w:tc>
        <w:tc>
          <w:tcPr>
            <w:tcW w:w="3200" w:type="dxa"/>
            <w:tcBorders/>
            <w:vAlign w:val="center"/>
          </w:tcPr>
          <w:p>
            <w:pPr>
              <w:pStyle w:val="TableContents"/>
              <w:bidi w:val="0"/>
              <w:spacing w:before="0" w:after="0"/>
              <w:jc w:val="left"/>
              <w:rPr/>
            </w:pPr>
            <w:r>
              <w:rPr/>
              <w:t>2800 Campus Drive</w:t>
              <w:br/>
              <w:t>Suite 140</w:t>
              <w:br/>
              <w:t>Minneapolis</w:t>
              <w:br/>
              <w:t xml:space="preserve">MINNESOTA </w:t>
              <w:br/>
              <w:t>55441</w:t>
            </w:r>
          </w:p>
        </w:tc>
      </w:tr>
      <w:tr>
        <w:trPr/>
        <w:tc>
          <w:tcPr>
            <w:tcW w:w="7005" w:type="dxa"/>
            <w:tcBorders/>
            <w:vAlign w:val="center"/>
          </w:tcPr>
          <w:p>
            <w:pPr>
              <w:pStyle w:val="TableContents"/>
              <w:bidi w:val="0"/>
              <w:spacing w:before="0" w:after="283"/>
              <w:jc w:val="left"/>
              <w:rPr/>
            </w:pPr>
            <w:r>
              <w:rPr/>
              <w:t>Phone</w:t>
            </w:r>
          </w:p>
        </w:tc>
        <w:tc>
          <w:tcPr>
            <w:tcW w:w="3200" w:type="dxa"/>
            <w:tcBorders/>
            <w:vAlign w:val="center"/>
          </w:tcPr>
          <w:p>
            <w:pPr>
              <w:pStyle w:val="TableContents"/>
              <w:bidi w:val="0"/>
              <w:spacing w:before="0" w:after="0"/>
              <w:jc w:val="left"/>
              <w:rPr/>
            </w:pPr>
            <w:r>
              <w:rPr/>
              <w:t>763-392-0123</w:t>
            </w:r>
          </w:p>
        </w:tc>
      </w:tr>
      <w:tr>
        <w:trPr/>
        <w:tc>
          <w:tcPr>
            <w:tcW w:w="7005" w:type="dxa"/>
            <w:tcBorders/>
            <w:vAlign w:val="center"/>
          </w:tcPr>
          <w:p>
            <w:pPr>
              <w:pStyle w:val="TableContents"/>
              <w:bidi w:val="0"/>
              <w:spacing w:before="0" w:after="283"/>
              <w:jc w:val="left"/>
              <w:rPr/>
            </w:pPr>
            <w:r>
              <w:rPr/>
              <w:t>Name of Person for Whose Account the Securities are To Be Sold</w:t>
            </w:r>
          </w:p>
        </w:tc>
        <w:tc>
          <w:tcPr>
            <w:tcW w:w="3200" w:type="dxa"/>
            <w:tcBorders/>
            <w:vAlign w:val="center"/>
          </w:tcPr>
          <w:p>
            <w:pPr>
              <w:pStyle w:val="TableContents"/>
              <w:bidi w:val="0"/>
              <w:spacing w:before="0" w:after="0"/>
              <w:jc w:val="left"/>
              <w:rPr/>
            </w:pPr>
            <w:r>
              <w:rPr/>
              <w:t>667,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05" w:type="dxa"/>
            <w:tcBorders/>
            <w:vAlign w:val="center"/>
          </w:tcPr>
          <w:p>
            <w:pPr>
              <w:pStyle w:val="TableContents"/>
              <w:bidi w:val="0"/>
              <w:spacing w:before="0" w:after="283"/>
              <w:jc w:val="left"/>
              <w:rPr/>
            </w:pPr>
            <w:r>
              <w:rPr/>
              <w:t>Relationship to Issuer</w:t>
            </w:r>
          </w:p>
        </w:tc>
        <w:tc>
          <w:tcPr>
            <w:tcW w:w="3200"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3"/>
        <w:gridCol w:w="1431"/>
        <w:gridCol w:w="1157"/>
        <w:gridCol w:w="1564"/>
        <w:gridCol w:w="1542"/>
        <w:gridCol w:w="1561"/>
        <w:gridCol w:w="1397"/>
      </w:tblGrid>
      <w:tr>
        <w:trPr/>
        <w:tc>
          <w:tcPr>
            <w:tcW w:w="1553" w:type="dxa"/>
            <w:tcBorders/>
            <w:vAlign w:val="center"/>
          </w:tcPr>
          <w:p>
            <w:pPr>
              <w:pStyle w:val="TableHeading"/>
              <w:suppressLineNumbers/>
              <w:bidi w:val="0"/>
              <w:spacing w:before="0" w:after="283"/>
              <w:jc w:val="center"/>
              <w:rPr/>
            </w:pPr>
            <w:r>
              <w:rPr/>
              <w:t>Title of the Class of Securities To Be Sold</w:t>
            </w:r>
          </w:p>
        </w:tc>
        <w:tc>
          <w:tcPr>
            <w:tcW w:w="1431"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564"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553" w:type="dxa"/>
            <w:tcBorders/>
            <w:vAlign w:val="center"/>
          </w:tcPr>
          <w:p>
            <w:pPr>
              <w:pStyle w:val="TableContents"/>
              <w:bidi w:val="0"/>
              <w:spacing w:before="0" w:after="283"/>
              <w:jc w:val="left"/>
              <w:rPr/>
            </w:pPr>
            <w:r>
              <w:rPr/>
              <w:t>Common Stock</w:t>
            </w:r>
          </w:p>
        </w:tc>
        <w:tc>
          <w:tcPr>
            <w:tcW w:w="1431" w:type="dxa"/>
            <w:tcBorders/>
            <w:vAlign w:val="center"/>
          </w:tcPr>
          <w:p>
            <w:pPr>
              <w:pStyle w:val="TableContents"/>
              <w:bidi w:val="0"/>
              <w:spacing w:before="0" w:after="0"/>
              <w:jc w:val="left"/>
              <w:rPr/>
            </w:pPr>
            <w:r>
              <w:rPr/>
              <w:t>Goldman Sachs &amp; Co. LLC</w:t>
              <w:br/>
              <w:t>200 West Street</w:t>
              <w:br/>
              <w:t>New York   NY   10282</w:t>
            </w:r>
          </w:p>
        </w:tc>
        <w:tc>
          <w:tcPr>
            <w:tcW w:w="1157" w:type="dxa"/>
            <w:tcBorders/>
            <w:vAlign w:val="center"/>
          </w:tcPr>
          <w:p>
            <w:pPr>
              <w:pStyle w:val="TableContents"/>
              <w:bidi w:val="0"/>
              <w:spacing w:before="0" w:after="283"/>
              <w:jc w:val="left"/>
              <w:rPr/>
            </w:pPr>
            <w:r>
              <w:rPr/>
              <w:t>261368</w:t>
            </w:r>
          </w:p>
        </w:tc>
        <w:tc>
          <w:tcPr>
            <w:tcW w:w="1564" w:type="dxa"/>
            <w:tcBorders/>
            <w:vAlign w:val="center"/>
          </w:tcPr>
          <w:p>
            <w:pPr>
              <w:pStyle w:val="TableContents"/>
              <w:bidi w:val="0"/>
              <w:spacing w:before="0" w:after="283"/>
              <w:jc w:val="left"/>
              <w:rPr/>
            </w:pPr>
            <w:r>
              <w:rPr/>
              <w:t>26790220.00</w:t>
            </w:r>
          </w:p>
        </w:tc>
        <w:tc>
          <w:tcPr>
            <w:tcW w:w="1542" w:type="dxa"/>
            <w:tcBorders/>
            <w:vAlign w:val="center"/>
          </w:tcPr>
          <w:p>
            <w:pPr>
              <w:pStyle w:val="TableContents"/>
              <w:bidi w:val="0"/>
              <w:spacing w:before="0" w:after="283"/>
              <w:jc w:val="left"/>
              <w:rPr/>
            </w:pPr>
            <w:r>
              <w:rPr/>
              <w:t>48766288</w:t>
            </w:r>
          </w:p>
        </w:tc>
        <w:tc>
          <w:tcPr>
            <w:tcW w:w="1561" w:type="dxa"/>
            <w:tcBorders/>
            <w:vAlign w:val="center"/>
          </w:tcPr>
          <w:p>
            <w:pPr>
              <w:pStyle w:val="TableContents"/>
              <w:bidi w:val="0"/>
              <w:spacing w:before="0" w:after="283"/>
              <w:jc w:val="left"/>
              <w:rPr/>
            </w:pPr>
            <w:r>
              <w:rPr/>
              <w:t>07/14/2026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6"/>
        <w:gridCol w:w="1113"/>
        <w:gridCol w:w="1447"/>
        <w:gridCol w:w="1518"/>
        <w:gridCol w:w="520"/>
        <w:gridCol w:w="1113"/>
        <w:gridCol w:w="1162"/>
        <w:gridCol w:w="1054"/>
        <w:gridCol w:w="1172"/>
      </w:tblGrid>
      <w:tr>
        <w:trPr/>
        <w:tc>
          <w:tcPr>
            <w:tcW w:w="1106" w:type="dxa"/>
            <w:tcBorders/>
            <w:vAlign w:val="center"/>
          </w:tcPr>
          <w:p>
            <w:pPr>
              <w:pStyle w:val="TableHeading"/>
              <w:suppressLineNumbers/>
              <w:bidi w:val="0"/>
              <w:spacing w:before="0" w:after="283"/>
              <w:jc w:val="center"/>
              <w:rPr/>
            </w:pPr>
            <w:r>
              <w:rPr/>
              <w:t>Title of the Class</w:t>
            </w:r>
          </w:p>
        </w:tc>
        <w:tc>
          <w:tcPr>
            <w:tcW w:w="1113" w:type="dxa"/>
            <w:tcBorders/>
            <w:vAlign w:val="center"/>
          </w:tcPr>
          <w:p>
            <w:pPr>
              <w:pStyle w:val="TableHeading"/>
              <w:suppressLineNumbers/>
              <w:bidi w:val="0"/>
              <w:spacing w:before="0" w:after="283"/>
              <w:jc w:val="center"/>
              <w:rPr/>
            </w:pPr>
            <w:r>
              <w:rPr/>
              <w:t>Date you Acquired</w:t>
            </w:r>
          </w:p>
        </w:tc>
        <w:tc>
          <w:tcPr>
            <w:tcW w:w="1447" w:type="dxa"/>
            <w:tcBorders/>
            <w:vAlign w:val="center"/>
          </w:tcPr>
          <w:p>
            <w:pPr>
              <w:pStyle w:val="TableHeading"/>
              <w:suppressLineNumbers/>
              <w:bidi w:val="0"/>
              <w:spacing w:before="0" w:after="283"/>
              <w:jc w:val="center"/>
              <w:rPr/>
            </w:pPr>
            <w:r>
              <w:rPr/>
              <w:t>Nature of Acquisition Transaction</w:t>
            </w:r>
          </w:p>
        </w:tc>
        <w:tc>
          <w:tcPr>
            <w:tcW w:w="1518"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3" w:type="dxa"/>
            <w:tcBorders/>
            <w:vAlign w:val="center"/>
          </w:tcPr>
          <w:p>
            <w:pPr>
              <w:pStyle w:val="TableHeading"/>
              <w:suppressLineNumbers/>
              <w:bidi w:val="0"/>
              <w:spacing w:before="0" w:after="283"/>
              <w:jc w:val="center"/>
              <w:rPr/>
            </w:pPr>
            <w:r>
              <w:rPr/>
              <w:t>Date Donor Acquired</w:t>
            </w:r>
          </w:p>
        </w:tc>
        <w:tc>
          <w:tcPr>
            <w:tcW w:w="1162"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17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6" w:type="dxa"/>
            <w:tcBorders/>
            <w:vAlign w:val="center"/>
          </w:tcPr>
          <w:p>
            <w:pPr>
              <w:pStyle w:val="TableContents"/>
              <w:bidi w:val="0"/>
              <w:spacing w:before="0" w:after="283"/>
              <w:jc w:val="left"/>
              <w:rPr/>
            </w:pPr>
            <w:r>
              <w:rPr/>
              <w:t>Common Stock</w:t>
            </w:r>
          </w:p>
        </w:tc>
        <w:tc>
          <w:tcPr>
            <w:tcW w:w="1113" w:type="dxa"/>
            <w:tcBorders/>
            <w:vAlign w:val="center"/>
          </w:tcPr>
          <w:p>
            <w:pPr>
              <w:pStyle w:val="TableContents"/>
              <w:bidi w:val="0"/>
              <w:spacing w:before="0" w:after="283"/>
              <w:jc w:val="left"/>
              <w:rPr/>
            </w:pPr>
            <w:r>
              <w:rPr/>
              <w:t>05/16/2025</w:t>
            </w:r>
          </w:p>
        </w:tc>
        <w:tc>
          <w:tcPr>
            <w:tcW w:w="1447" w:type="dxa"/>
            <w:tcBorders/>
            <w:vAlign w:val="center"/>
          </w:tcPr>
          <w:p>
            <w:pPr>
              <w:pStyle w:val="TableContents"/>
              <w:bidi w:val="0"/>
              <w:spacing w:before="0" w:after="283"/>
              <w:jc w:val="left"/>
              <w:rPr/>
            </w:pPr>
            <w:r>
              <w:rPr/>
              <w:t>Purchases of shares of common stock in the open market See Remark 2</w:t>
            </w:r>
          </w:p>
        </w:tc>
        <w:tc>
          <w:tcPr>
            <w:tcW w:w="1518" w:type="dxa"/>
            <w:tcBorders/>
            <w:vAlign w:val="center"/>
          </w:tcPr>
          <w:p>
            <w:pPr>
              <w:pStyle w:val="TableContents"/>
              <w:bidi w:val="0"/>
              <w:spacing w:before="0" w:after="283"/>
              <w:jc w:val="left"/>
              <w:rPr/>
            </w:pPr>
            <w:r>
              <w:rPr/>
              <w:t>Purchases from counterparties in open market transactions</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pPr>
            <w:r>
              <w:rPr/>
              <w:t>261368</w:t>
            </w:r>
          </w:p>
        </w:tc>
        <w:tc>
          <w:tcPr>
            <w:tcW w:w="1054" w:type="dxa"/>
            <w:tcBorders/>
            <w:vAlign w:val="center"/>
          </w:tcPr>
          <w:p>
            <w:pPr>
              <w:pStyle w:val="TableContents"/>
              <w:bidi w:val="0"/>
              <w:spacing w:before="0" w:after="283"/>
              <w:jc w:val="left"/>
              <w:rPr/>
            </w:pPr>
            <w:r>
              <w:rPr/>
              <w:t>05/19/2025</w:t>
            </w:r>
          </w:p>
        </w:tc>
        <w:tc>
          <w:tcPr>
            <w:tcW w:w="117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103"/>
        <w:gridCol w:w="9102"/>
      </w:tblGrid>
      <w:tr>
        <w:trPr/>
        <w:tc>
          <w:tcPr>
            <w:tcW w:w="1103" w:type="dxa"/>
            <w:tcBorders/>
            <w:vAlign w:val="center"/>
          </w:tcPr>
          <w:p>
            <w:pPr>
              <w:pStyle w:val="TableContents"/>
              <w:bidi w:val="0"/>
              <w:spacing w:before="0" w:after="283"/>
              <w:jc w:val="left"/>
              <w:rPr/>
            </w:pPr>
            <w:r>
              <w:rPr/>
              <w:t>Remarks</w:t>
            </w:r>
          </w:p>
        </w:tc>
        <w:tc>
          <w:tcPr>
            <w:tcW w:w="9102" w:type="dxa"/>
            <w:tcBorders/>
            <w:vAlign w:val="center"/>
          </w:tcPr>
          <w:p>
            <w:pPr>
              <w:pStyle w:val="TableContents"/>
              <w:bidi w:val="0"/>
              <w:spacing w:before="0" w:after="0"/>
              <w:jc w:val="left"/>
              <w:rPr/>
            </w:pPr>
            <w:r>
              <w:rPr/>
              <w:t>(1) 667, L.P. is affiliated with Baker Brothers Life Sciences, L.P. Baker Bros. Advisors LP serves as the investment adviser to 667, L.P. and Baker Brothers Life Sciences, L.P. Baker Brothers Life Sciences, L.P. is filing separately for the sale of 2,838,632 shares of common stock ("Common Stock") of Celcuity Inc. (the "Issuer"), which along with the reported sales in this form by 667, L.P. totals 3,100,000 shares of Common Stock. (2) Shares of common stock to be sold were purchased between 5/16/2025 and 1/7/2025 in various open market transactions.</w:t>
            </w:r>
          </w:p>
        </w:tc>
      </w:tr>
      <w:tr>
        <w:trPr/>
        <w:tc>
          <w:tcPr>
            <w:tcW w:w="1103" w:type="dxa"/>
            <w:tcBorders/>
            <w:vAlign w:val="center"/>
          </w:tcPr>
          <w:p>
            <w:pPr>
              <w:pStyle w:val="TableContents"/>
              <w:bidi w:val="0"/>
              <w:spacing w:before="0" w:after="283"/>
              <w:jc w:val="left"/>
              <w:rPr/>
            </w:pPr>
            <w:r>
              <w:rPr/>
              <w:t>Date of Notice</w:t>
            </w:r>
          </w:p>
        </w:tc>
        <w:tc>
          <w:tcPr>
            <w:tcW w:w="9102" w:type="dxa"/>
            <w:tcBorders/>
            <w:vAlign w:val="center"/>
          </w:tcPr>
          <w:p>
            <w:pPr>
              <w:pStyle w:val="TableContents"/>
              <w:bidi w:val="0"/>
              <w:spacing w:before="0" w:after="0"/>
              <w:jc w:val="left"/>
              <w:rPr/>
            </w:pPr>
            <w:r>
              <w:rPr/>
              <w:t>07/14/2026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03" w:type="dxa"/>
            <w:tcBorders/>
            <w:vAlign w:val="center"/>
          </w:tcPr>
          <w:p>
            <w:pPr>
              <w:pStyle w:val="TableContents"/>
              <w:bidi w:val="0"/>
              <w:spacing w:before="0" w:after="283"/>
              <w:jc w:val="left"/>
              <w:rPr/>
            </w:pPr>
            <w:r>
              <w:rPr/>
              <w:t>Signature</w:t>
            </w:r>
          </w:p>
        </w:tc>
        <w:tc>
          <w:tcPr>
            <w:tcW w:w="9102" w:type="dxa"/>
            <w:tcBorders/>
            <w:vAlign w:val="center"/>
          </w:tcPr>
          <w:p>
            <w:pPr>
              <w:pStyle w:val="TableContents"/>
              <w:bidi w:val="0"/>
              <w:spacing w:before="0" w:after="0"/>
              <w:jc w:val="left"/>
              <w:rPr/>
            </w:pPr>
            <w:r>
              <w:rPr/>
              <w:t>By: BAKER BROS. ADVISORS LP, mgmt company and IA to 667, L.P., /s/ Scott L. Lessing, President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3490</Characters>
  <CharactersWithSpaces>4129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